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06064" w:rsidRPr="00A04858" w:rsidRDefault="00206064">
      <w:pPr>
        <w:pStyle w:val="tytulspecyfikacji"/>
        <w:rPr>
          <w:lang w:val="pl-PL"/>
        </w:rPr>
      </w:pPr>
      <w:bookmarkStart w:id="0" w:name="_Toc67908391"/>
      <w:bookmarkStart w:id="1" w:name="_Toc142297103"/>
      <w:bookmarkStart w:id="2" w:name="_Toc384631347"/>
      <w:r w:rsidRPr="00A04858">
        <w:rPr>
          <w:lang w:val="pl-PL"/>
        </w:rPr>
        <w:t>D-0</w:t>
      </w:r>
      <w:r w:rsidR="00FC3F78">
        <w:rPr>
          <w:lang w:val="pl-PL"/>
        </w:rPr>
        <w:t>6</w:t>
      </w:r>
      <w:r w:rsidRPr="00A04858">
        <w:rPr>
          <w:lang w:val="pl-PL"/>
        </w:rPr>
        <w:t>.0</w:t>
      </w:r>
      <w:r w:rsidR="00FC3F78">
        <w:rPr>
          <w:lang w:val="pl-PL"/>
        </w:rPr>
        <w:t>3</w:t>
      </w:r>
      <w:r w:rsidRPr="00A04858">
        <w:rPr>
          <w:lang w:val="pl-PL"/>
        </w:rPr>
        <w:t>.0</w:t>
      </w:r>
      <w:r w:rsidR="00FC3F78">
        <w:rPr>
          <w:lang w:val="pl-PL"/>
        </w:rPr>
        <w:t>1</w:t>
      </w:r>
      <w:r w:rsidRPr="00A04858">
        <w:rPr>
          <w:lang w:val="pl-PL"/>
        </w:rPr>
        <w:br/>
      </w:r>
      <w:r w:rsidRPr="00A04858">
        <w:rPr>
          <w:lang w:val="pl-PL"/>
        </w:rPr>
        <w:br/>
      </w:r>
      <w:bookmarkEnd w:id="0"/>
      <w:bookmarkEnd w:id="1"/>
      <w:bookmarkEnd w:id="2"/>
      <w:r w:rsidR="00FC3F78">
        <w:rPr>
          <w:lang w:val="pl-PL"/>
        </w:rPr>
        <w:t>UMOCNIENIE POBOCZY GRUNTOWYCH</w:t>
      </w:r>
    </w:p>
    <w:p w:rsidR="00206064" w:rsidRPr="00A04858" w:rsidRDefault="00206064">
      <w:pPr>
        <w:pStyle w:val="kreska"/>
        <w:rPr>
          <w:lang w:val="pl-PL"/>
        </w:rPr>
      </w:pPr>
    </w:p>
    <w:p w:rsidR="007C3D00" w:rsidRPr="00A04858" w:rsidRDefault="007C3D00" w:rsidP="00917119">
      <w:pPr>
        <w:pStyle w:val="Nagwek1"/>
      </w:pPr>
      <w:r w:rsidRPr="00A04858">
        <w:t>1.  Wstęp</w:t>
      </w:r>
    </w:p>
    <w:p w:rsidR="007C3D00" w:rsidRPr="00A04858" w:rsidRDefault="007C3D00" w:rsidP="00917119">
      <w:pPr>
        <w:pStyle w:val="Nagwek2"/>
      </w:pPr>
      <w:r w:rsidRPr="00A04858">
        <w:t>1.1. Przedmiot Specyfikacji</w:t>
      </w:r>
    </w:p>
    <w:p w:rsidR="007C3D00" w:rsidRPr="001C3D14" w:rsidRDefault="007C3D00" w:rsidP="00917119">
      <w:pPr>
        <w:jc w:val="left"/>
        <w:rPr>
          <w:color w:val="000000"/>
        </w:rPr>
      </w:pPr>
      <w:r w:rsidRPr="001C3D14">
        <w:t xml:space="preserve">Przedmiotem Specyfikacji są wymagania dotyczące wykonania i odbioru robót związanych z wykonaniem </w:t>
      </w:r>
      <w:r w:rsidR="00D9640B">
        <w:t>poboczy gruntowych umocnionych</w:t>
      </w:r>
      <w:r w:rsidRPr="001C3D14">
        <w:t xml:space="preserve">, które zostaną wykonane w </w:t>
      </w:r>
      <w:r w:rsidR="001B209A" w:rsidRPr="0002533E">
        <w:rPr>
          <w:noProof/>
        </w:rPr>
        <w:t xml:space="preserve">ramach budowy drogi </w:t>
      </w:r>
      <w:r w:rsidR="006E1472">
        <w:rPr>
          <w:noProof/>
        </w:rPr>
        <w:t>:</w:t>
      </w:r>
      <w:r w:rsidR="00737F6C" w:rsidRPr="00737F6C">
        <w:t xml:space="preserve"> </w:t>
      </w:r>
      <w:r w:rsidR="004968DB" w:rsidRPr="004968DB">
        <w:rPr>
          <w:noProof/>
        </w:rPr>
        <w:t>Modernizacja DW 209 na odc. Kamieńc - Jutrzenka, km 46+000 – 48+000, dł. 2,0 km</w:t>
      </w:r>
    </w:p>
    <w:p w:rsidR="007C3D00" w:rsidRPr="001C3D14" w:rsidRDefault="007C3D00" w:rsidP="00917119">
      <w:pPr>
        <w:pStyle w:val="Nagwek2"/>
      </w:pPr>
      <w:r w:rsidRPr="001C3D14">
        <w:t xml:space="preserve">1.2. </w:t>
      </w:r>
      <w:r w:rsidRPr="00FA2399">
        <w:t>Zakres</w:t>
      </w:r>
      <w:r w:rsidRPr="001C3D14">
        <w:t xml:space="preserve"> stosowania Specyfikacji</w:t>
      </w:r>
    </w:p>
    <w:p w:rsidR="007C3D00" w:rsidRPr="001C3D14" w:rsidRDefault="007C3D00" w:rsidP="00917119">
      <w:pPr>
        <w:jc w:val="left"/>
      </w:pPr>
      <w:r w:rsidRPr="001C3D14">
        <w:t xml:space="preserve">Specyfikacja jest stosowana jako dokument kontraktowy przy zlecaniu i realizacji robót wymienionych w punkcie 1.1, zgodnie z </w:t>
      </w:r>
      <w:r w:rsidR="00C11B56">
        <w:t>Specyfikacją D</w:t>
      </w:r>
      <w:r w:rsidRPr="001C3D14">
        <w:t>-00.00.00 – „Wymagania Ogólne”.</w:t>
      </w:r>
      <w:r w:rsidR="00CD0C41">
        <w:t xml:space="preserve"> </w:t>
      </w:r>
      <w:r w:rsidR="00CD0C41" w:rsidRPr="0029670F">
        <w:t>Określają one zakres standardu materiałów, wykonania robót i wymaganej ich jakości oraz kontroli.</w:t>
      </w:r>
    </w:p>
    <w:p w:rsidR="007C3D00" w:rsidRPr="001A2D33" w:rsidRDefault="007C3D00" w:rsidP="00917119">
      <w:pPr>
        <w:pStyle w:val="Nagwek2"/>
      </w:pPr>
      <w:r w:rsidRPr="001A2D33">
        <w:t xml:space="preserve">1.3.  </w:t>
      </w:r>
      <w:r w:rsidRPr="00FA2399">
        <w:t>Zakres</w:t>
      </w:r>
      <w:r w:rsidRPr="001A2D33">
        <w:t xml:space="preserve"> robót objętych Specyfikacją</w:t>
      </w:r>
    </w:p>
    <w:p w:rsidR="00C11B56" w:rsidRPr="00C11B56" w:rsidRDefault="007C3D00" w:rsidP="00917119">
      <w:pPr>
        <w:jc w:val="left"/>
      </w:pPr>
      <w:r w:rsidRPr="001A2D33">
        <w:t>Roboty obejmują wszystkie czynności umożliwiające i mające na celu wykonanie</w:t>
      </w:r>
      <w:r w:rsidR="00D865CF">
        <w:t xml:space="preserve"> </w:t>
      </w:r>
      <w:r w:rsidR="00643656">
        <w:t>nawierzchni</w:t>
      </w:r>
      <w:r w:rsidR="00BE77A7" w:rsidRPr="001C3D14">
        <w:t xml:space="preserve"> z </w:t>
      </w:r>
      <w:r w:rsidR="00BE77A7">
        <w:t xml:space="preserve">mieszanki </w:t>
      </w:r>
      <w:r w:rsidR="00BE77A7" w:rsidRPr="001C3D14">
        <w:t xml:space="preserve">kruszywa </w:t>
      </w:r>
      <w:r w:rsidR="00C11B56">
        <w:t>o uziarnieniu</w:t>
      </w:r>
      <w:r w:rsidR="00B40168">
        <w:t xml:space="preserve"> 0/31,5</w:t>
      </w:r>
      <w:r w:rsidR="00D9640B">
        <w:t xml:space="preserve"> </w:t>
      </w:r>
      <w:r w:rsidR="00FC7391" w:rsidRPr="00D62C8D">
        <w:t xml:space="preserve">oraz z mieszanek z kruszywem z recyklingu odpowiadające wymaganiom WT-4 </w:t>
      </w:r>
      <w:r w:rsidR="00D9640B" w:rsidRPr="00D62C8D">
        <w:t xml:space="preserve">dla </w:t>
      </w:r>
      <w:r w:rsidR="006C7491">
        <w:t>podbudowy za</w:t>
      </w:r>
      <w:r w:rsidR="0006182D">
        <w:t>sadniczej.</w:t>
      </w:r>
    </w:p>
    <w:p w:rsidR="007C3D00" w:rsidRPr="00673AD3" w:rsidRDefault="006C7491" w:rsidP="00917119">
      <w:pPr>
        <w:pStyle w:val="Nagwek2"/>
      </w:pPr>
      <w:r>
        <w:t xml:space="preserve">1.4. Określenia </w:t>
      </w:r>
      <w:r w:rsidR="007C3D00" w:rsidRPr="00673AD3">
        <w:t>podstawowe</w:t>
      </w:r>
    </w:p>
    <w:p w:rsidR="007C3D00" w:rsidRPr="00673AD3" w:rsidRDefault="007C3D00" w:rsidP="00917119">
      <w:pPr>
        <w:jc w:val="left"/>
      </w:pPr>
      <w:r w:rsidRPr="00673AD3">
        <w:t xml:space="preserve">Określenia podane w Specyfikacji są zgodne z odpowiednimi normami i określeniami podanymi w Specyfikacji </w:t>
      </w:r>
      <w:r w:rsidR="00932E02">
        <w:br/>
      </w:r>
      <w:r w:rsidR="00C11B56">
        <w:t>D</w:t>
      </w:r>
      <w:r w:rsidRPr="00673AD3">
        <w:t>-00.00.00 – „Wymagania Ogólne” pkt. 1.4.</w:t>
      </w:r>
    </w:p>
    <w:p w:rsidR="00BE77A7" w:rsidRPr="00C67E87" w:rsidRDefault="00BE77A7" w:rsidP="00917119">
      <w:pPr>
        <w:numPr>
          <w:ilvl w:val="0"/>
          <w:numId w:val="0"/>
        </w:numPr>
        <w:overflowPunct/>
        <w:jc w:val="left"/>
        <w:textAlignment w:val="auto"/>
        <w:rPr>
          <w:rFonts w:eastAsia="CenturyGothic"/>
          <w:kern w:val="0"/>
        </w:rPr>
      </w:pPr>
      <w:r w:rsidRPr="00C67E87">
        <w:rPr>
          <w:rFonts w:eastAsia="CenturyGothic"/>
          <w:kern w:val="0"/>
        </w:rPr>
        <w:t xml:space="preserve">1.4.1. </w:t>
      </w:r>
      <w:r w:rsidRPr="00C67E87">
        <w:rPr>
          <w:rFonts w:eastAsia="CenturyGothic"/>
          <w:b/>
          <w:bCs/>
          <w:kern w:val="0"/>
        </w:rPr>
        <w:t xml:space="preserve">Mieszanka niezwiązana </w:t>
      </w:r>
      <w:r w:rsidRPr="00C67E87">
        <w:rPr>
          <w:rFonts w:eastAsia="CenturyGothic"/>
          <w:kern w:val="0"/>
        </w:rPr>
        <w:t>- ziarnisty materiał, zazwyczaj o określonym składzie ziarnowym (od d = 0 do D)</w:t>
      </w:r>
      <w:r w:rsidRPr="00C67E87">
        <w:rPr>
          <w:rFonts w:eastAsia="CenturyGothic"/>
          <w:b/>
          <w:bCs/>
          <w:kern w:val="0"/>
        </w:rPr>
        <w:t>,</w:t>
      </w:r>
      <w:r w:rsidR="00C67E87">
        <w:rPr>
          <w:rFonts w:eastAsia="CenturyGothic"/>
          <w:b/>
          <w:bCs/>
          <w:kern w:val="0"/>
        </w:rPr>
        <w:t xml:space="preserve"> </w:t>
      </w:r>
      <w:r w:rsidRPr="00C67E87">
        <w:rPr>
          <w:rFonts w:eastAsia="CenturyGothic"/>
          <w:kern w:val="0"/>
        </w:rPr>
        <w:t>kt</w:t>
      </w:r>
      <w:r w:rsidR="00C67E87">
        <w:rPr>
          <w:rFonts w:eastAsia="CenturyGothic"/>
          <w:kern w:val="0"/>
        </w:rPr>
        <w:t>ó</w:t>
      </w:r>
      <w:r w:rsidRPr="00C67E87">
        <w:rPr>
          <w:rFonts w:eastAsia="CenturyGothic"/>
          <w:kern w:val="0"/>
        </w:rPr>
        <w:t>ry jest stosowany do wykonania ulepszonego podłoża gruntowego oraz warstw konstrukcji</w:t>
      </w:r>
      <w:r w:rsidR="00C67E87">
        <w:rPr>
          <w:rFonts w:eastAsia="CenturyGothic"/>
          <w:kern w:val="0"/>
        </w:rPr>
        <w:t xml:space="preserve"> </w:t>
      </w:r>
      <w:r w:rsidRPr="00C67E87">
        <w:rPr>
          <w:rFonts w:eastAsia="CenturyGothic"/>
          <w:kern w:val="0"/>
        </w:rPr>
        <w:t>nawierzchni dr</w:t>
      </w:r>
      <w:r w:rsidR="00C67E87">
        <w:rPr>
          <w:rFonts w:eastAsia="CenturyGothic"/>
          <w:kern w:val="0"/>
        </w:rPr>
        <w:t>ó</w:t>
      </w:r>
      <w:r w:rsidRPr="00C67E87">
        <w:rPr>
          <w:rFonts w:eastAsia="CenturyGothic"/>
          <w:kern w:val="0"/>
        </w:rPr>
        <w:t>g.</w:t>
      </w:r>
      <w:r w:rsidR="00C67E87">
        <w:rPr>
          <w:rFonts w:eastAsia="CenturyGothic"/>
          <w:kern w:val="0"/>
        </w:rPr>
        <w:t xml:space="preserve"> </w:t>
      </w:r>
      <w:r w:rsidRPr="00C67E87">
        <w:rPr>
          <w:rFonts w:eastAsia="CenturyGothic"/>
          <w:kern w:val="0"/>
        </w:rPr>
        <w:t>Mieszanka niezwiązana może być wytworzona z kruszyw naturalnych, sztucznych, z recyklingu lub</w:t>
      </w:r>
      <w:r w:rsidR="00C67E87">
        <w:rPr>
          <w:rFonts w:eastAsia="CenturyGothic"/>
          <w:kern w:val="0"/>
        </w:rPr>
        <w:t xml:space="preserve"> </w:t>
      </w:r>
      <w:r w:rsidRPr="00C67E87">
        <w:rPr>
          <w:rFonts w:eastAsia="CenturyGothic"/>
          <w:kern w:val="0"/>
        </w:rPr>
        <w:t>mieszaniny tych kruszyw w określonych proporcjach.</w:t>
      </w:r>
    </w:p>
    <w:p w:rsidR="00BE77A7" w:rsidRPr="00C67E87" w:rsidRDefault="00BE77A7" w:rsidP="00917119">
      <w:pPr>
        <w:numPr>
          <w:ilvl w:val="0"/>
          <w:numId w:val="0"/>
        </w:numPr>
        <w:overflowPunct/>
        <w:jc w:val="left"/>
        <w:textAlignment w:val="auto"/>
        <w:rPr>
          <w:rFonts w:eastAsia="CenturyGothic"/>
          <w:kern w:val="0"/>
        </w:rPr>
      </w:pPr>
      <w:r w:rsidRPr="00C67E87">
        <w:rPr>
          <w:rFonts w:eastAsia="CenturyGothic"/>
          <w:kern w:val="0"/>
        </w:rPr>
        <w:t xml:space="preserve">1.4.2. </w:t>
      </w:r>
      <w:r w:rsidRPr="00C67E87">
        <w:rPr>
          <w:rFonts w:eastAsia="CenturyGothic"/>
          <w:b/>
          <w:bCs/>
          <w:kern w:val="0"/>
        </w:rPr>
        <w:t xml:space="preserve">Kategoria </w:t>
      </w:r>
      <w:r w:rsidRPr="00C67E87">
        <w:rPr>
          <w:rFonts w:eastAsia="CenturyGothic"/>
          <w:kern w:val="0"/>
        </w:rPr>
        <w:t>- charakterystyczny poziom właściwości kruszywa łub mieszanki niezwiązanej, wyrażony, jako</w:t>
      </w:r>
      <w:r w:rsidR="00C67E87">
        <w:rPr>
          <w:rFonts w:eastAsia="CenturyGothic"/>
          <w:kern w:val="0"/>
        </w:rPr>
        <w:t xml:space="preserve"> </w:t>
      </w:r>
      <w:r w:rsidRPr="00C67E87">
        <w:rPr>
          <w:rFonts w:eastAsia="CenturyGothic"/>
          <w:kern w:val="0"/>
        </w:rPr>
        <w:t>przedział wartości lub wartość graniczna. Nie ma zależności pomiędzy kategoriami rożnych właściwości.</w:t>
      </w:r>
      <w:r w:rsidR="00C67E87">
        <w:rPr>
          <w:rFonts w:eastAsia="CenturyGothic"/>
          <w:kern w:val="0"/>
        </w:rPr>
        <w:t xml:space="preserve"> </w:t>
      </w:r>
      <w:r w:rsidRPr="00C67E87">
        <w:rPr>
          <w:rFonts w:eastAsia="CenturyGothic"/>
          <w:kern w:val="0"/>
        </w:rPr>
        <w:t>Właściwości oznaczone symbolem kategorii NR oznaczają, że nie jest wymagane badanie danej</w:t>
      </w:r>
      <w:r w:rsidR="00C67E87">
        <w:rPr>
          <w:rFonts w:eastAsia="CenturyGothic"/>
          <w:kern w:val="0"/>
        </w:rPr>
        <w:t xml:space="preserve"> </w:t>
      </w:r>
      <w:r w:rsidRPr="00C67E87">
        <w:rPr>
          <w:rFonts w:eastAsia="CenturyGothic"/>
          <w:kern w:val="0"/>
        </w:rPr>
        <w:t>cechy.</w:t>
      </w:r>
    </w:p>
    <w:p w:rsidR="00BE77A7" w:rsidRPr="00FE5E2F" w:rsidRDefault="00BE77A7" w:rsidP="00917119">
      <w:pPr>
        <w:numPr>
          <w:ilvl w:val="0"/>
          <w:numId w:val="0"/>
        </w:numPr>
        <w:overflowPunct/>
        <w:jc w:val="left"/>
        <w:textAlignment w:val="auto"/>
        <w:rPr>
          <w:rFonts w:eastAsia="CenturyGothic"/>
          <w:kern w:val="0"/>
        </w:rPr>
      </w:pPr>
      <w:r w:rsidRPr="00FE5E2F">
        <w:rPr>
          <w:rFonts w:eastAsia="CenturyGothic"/>
          <w:kern w:val="0"/>
        </w:rPr>
        <w:t xml:space="preserve">1.4.3. </w:t>
      </w:r>
      <w:r w:rsidR="00FE5E2F" w:rsidRPr="00FE5E2F">
        <w:rPr>
          <w:rStyle w:val="FontStyle28"/>
          <w:b/>
          <w:sz w:val="20"/>
          <w:szCs w:val="20"/>
        </w:rPr>
        <w:t>Kruszywo</w:t>
      </w:r>
      <w:r w:rsidR="00FE5E2F" w:rsidRPr="00FE5E2F">
        <w:rPr>
          <w:rStyle w:val="FontStyle28"/>
          <w:sz w:val="20"/>
          <w:szCs w:val="20"/>
        </w:rPr>
        <w:t xml:space="preserve"> - materiał ziarnisty stosowany w budownictwie, który może być naturalny, sztuczny lub z recyklingu</w:t>
      </w:r>
      <w:r w:rsidRPr="00FE5E2F">
        <w:rPr>
          <w:rFonts w:eastAsia="CenturyGothic"/>
          <w:kern w:val="0"/>
        </w:rPr>
        <w:t>.</w:t>
      </w:r>
    </w:p>
    <w:p w:rsidR="00BE77A7" w:rsidRPr="00FE5E2F" w:rsidRDefault="00BE77A7" w:rsidP="00917119">
      <w:pPr>
        <w:numPr>
          <w:ilvl w:val="0"/>
          <w:numId w:val="0"/>
        </w:numPr>
        <w:overflowPunct/>
        <w:jc w:val="left"/>
        <w:textAlignment w:val="auto"/>
        <w:rPr>
          <w:rFonts w:eastAsia="CenturyGothic"/>
          <w:kern w:val="0"/>
        </w:rPr>
      </w:pPr>
      <w:r w:rsidRPr="00FE5E2F">
        <w:rPr>
          <w:rFonts w:eastAsia="CenturyGothic"/>
          <w:kern w:val="0"/>
        </w:rPr>
        <w:t xml:space="preserve">1.4.4. </w:t>
      </w:r>
      <w:r w:rsidR="00FE5E2F" w:rsidRPr="00FE5E2F">
        <w:rPr>
          <w:rStyle w:val="FontStyle28"/>
          <w:b/>
          <w:sz w:val="20"/>
          <w:szCs w:val="20"/>
        </w:rPr>
        <w:t>Kruszywo naturalne</w:t>
      </w:r>
      <w:r w:rsidR="00FE5E2F" w:rsidRPr="00FE5E2F">
        <w:rPr>
          <w:rStyle w:val="FontStyle28"/>
          <w:sz w:val="20"/>
          <w:szCs w:val="20"/>
        </w:rPr>
        <w:t xml:space="preserv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r w:rsidRPr="00FE5E2F">
        <w:rPr>
          <w:rFonts w:eastAsia="CenturyGothic"/>
          <w:kern w:val="0"/>
        </w:rPr>
        <w:t>.</w:t>
      </w:r>
    </w:p>
    <w:p w:rsidR="00BE77A7" w:rsidRDefault="00BE77A7" w:rsidP="00917119">
      <w:pPr>
        <w:numPr>
          <w:ilvl w:val="0"/>
          <w:numId w:val="0"/>
        </w:numPr>
        <w:overflowPunct/>
        <w:jc w:val="left"/>
        <w:textAlignment w:val="auto"/>
        <w:rPr>
          <w:rFonts w:eastAsia="CenturyGothic"/>
          <w:kern w:val="0"/>
        </w:rPr>
      </w:pPr>
      <w:r w:rsidRPr="00FE5E2F">
        <w:rPr>
          <w:rFonts w:eastAsia="CenturyGothic"/>
          <w:kern w:val="0"/>
        </w:rPr>
        <w:t xml:space="preserve">1.4.5. </w:t>
      </w:r>
      <w:r w:rsidR="00FE5E2F" w:rsidRPr="00FE5E2F">
        <w:rPr>
          <w:rStyle w:val="FontStyle28"/>
          <w:b/>
          <w:sz w:val="20"/>
          <w:szCs w:val="20"/>
        </w:rPr>
        <w:t xml:space="preserve">Kruszywo sztuczne </w:t>
      </w:r>
      <w:r w:rsidR="00FE5E2F" w:rsidRPr="00FE5E2F">
        <w:rPr>
          <w:rStyle w:val="FontStyle28"/>
          <w:sz w:val="20"/>
          <w:szCs w:val="20"/>
        </w:rPr>
        <w:t>- kruszywo pochodzenia mineralnego, uzyskiwane w wyniku procesu przemysłowego obejmującego obróbkę termiczną lub inną modyfikację. Do kruszywa sztucznego zalicza się w szczególności kruszywo z żużli: wielkopiecowych, stalowniczych i pomiedziowych</w:t>
      </w:r>
      <w:r w:rsidRPr="00FE5E2F">
        <w:rPr>
          <w:rFonts w:eastAsia="CenturyGothic"/>
          <w:kern w:val="0"/>
        </w:rPr>
        <w:t>.</w:t>
      </w:r>
    </w:p>
    <w:p w:rsidR="00FE5E2F" w:rsidRDefault="00FE5E2F" w:rsidP="00917119">
      <w:pPr>
        <w:numPr>
          <w:ilvl w:val="0"/>
          <w:numId w:val="0"/>
        </w:numPr>
        <w:overflowPunct/>
        <w:jc w:val="left"/>
        <w:textAlignment w:val="auto"/>
        <w:rPr>
          <w:rStyle w:val="FontStyle28"/>
          <w:sz w:val="20"/>
          <w:szCs w:val="20"/>
        </w:rPr>
      </w:pPr>
      <w:r w:rsidRPr="00FE5E2F">
        <w:rPr>
          <w:rFonts w:eastAsia="CenturyGothic"/>
          <w:kern w:val="0"/>
        </w:rPr>
        <w:t xml:space="preserve">1.4.6. </w:t>
      </w:r>
      <w:r w:rsidRPr="00FE5E2F">
        <w:rPr>
          <w:rStyle w:val="FontStyle28"/>
          <w:b/>
          <w:sz w:val="20"/>
          <w:szCs w:val="20"/>
        </w:rPr>
        <w:t>Kruszywo grube</w:t>
      </w:r>
      <w:r w:rsidRPr="00FE5E2F">
        <w:rPr>
          <w:rStyle w:val="FontStyle28"/>
          <w:sz w:val="20"/>
          <w:szCs w:val="20"/>
        </w:rPr>
        <w:t xml:space="preserve"> (wg PN-EN 13242) - oznaczenie kruszywa o wymiarach ziaren </w:t>
      </w:r>
      <w:r w:rsidRPr="00FE5E2F">
        <w:rPr>
          <w:rStyle w:val="FontStyle27"/>
          <w:sz w:val="20"/>
          <w:szCs w:val="20"/>
        </w:rPr>
        <w:t xml:space="preserve">d </w:t>
      </w:r>
      <w:r w:rsidRPr="00FE5E2F">
        <w:rPr>
          <w:rStyle w:val="FontStyle28"/>
          <w:sz w:val="20"/>
          <w:szCs w:val="20"/>
        </w:rPr>
        <w:t xml:space="preserve">(dolnego) równym lub większym niż 1 mm oraz </w:t>
      </w:r>
      <w:r w:rsidRPr="00FE5E2F">
        <w:rPr>
          <w:rStyle w:val="FontStyle27"/>
          <w:sz w:val="20"/>
          <w:szCs w:val="20"/>
        </w:rPr>
        <w:t xml:space="preserve">D </w:t>
      </w:r>
      <w:r w:rsidRPr="00FE5E2F">
        <w:rPr>
          <w:rStyle w:val="FontStyle28"/>
          <w:sz w:val="20"/>
          <w:szCs w:val="20"/>
        </w:rPr>
        <w:t>(górnego) większym niż 2 mm</w:t>
      </w:r>
      <w:r>
        <w:rPr>
          <w:rStyle w:val="FontStyle28"/>
          <w:sz w:val="20"/>
          <w:szCs w:val="20"/>
        </w:rPr>
        <w:t>.</w:t>
      </w:r>
    </w:p>
    <w:p w:rsidR="00FE5E2F" w:rsidRDefault="00FE5E2F" w:rsidP="00917119">
      <w:pPr>
        <w:numPr>
          <w:ilvl w:val="0"/>
          <w:numId w:val="0"/>
        </w:numPr>
        <w:overflowPunct/>
        <w:jc w:val="left"/>
        <w:textAlignment w:val="auto"/>
        <w:rPr>
          <w:rStyle w:val="FontStyle28"/>
          <w:sz w:val="20"/>
          <w:szCs w:val="20"/>
        </w:rPr>
      </w:pPr>
      <w:r w:rsidRPr="00FE5E2F">
        <w:rPr>
          <w:rStyle w:val="FontStyle28"/>
          <w:sz w:val="20"/>
          <w:szCs w:val="20"/>
        </w:rPr>
        <w:t xml:space="preserve">1.4.7. </w:t>
      </w:r>
      <w:r w:rsidRPr="00FE5E2F">
        <w:rPr>
          <w:rStyle w:val="FontStyle28"/>
          <w:b/>
          <w:sz w:val="20"/>
          <w:szCs w:val="20"/>
        </w:rPr>
        <w:t>Kruszywo drobne</w:t>
      </w:r>
      <w:r w:rsidRPr="00FE5E2F">
        <w:rPr>
          <w:rStyle w:val="FontStyle28"/>
          <w:sz w:val="20"/>
          <w:szCs w:val="20"/>
        </w:rPr>
        <w:t xml:space="preserve"> (wg PN-EN 13242) - oznaczenie kruszywa o wymiarach ziaren </w:t>
      </w:r>
      <w:r w:rsidRPr="00FE5E2F">
        <w:rPr>
          <w:rStyle w:val="FontStyle27"/>
          <w:sz w:val="20"/>
          <w:szCs w:val="20"/>
        </w:rPr>
        <w:t xml:space="preserve">d </w:t>
      </w:r>
      <w:r w:rsidRPr="00FE5E2F">
        <w:rPr>
          <w:rStyle w:val="FontStyle28"/>
          <w:sz w:val="20"/>
          <w:szCs w:val="20"/>
        </w:rPr>
        <w:t xml:space="preserve">równym 0 oraz </w:t>
      </w:r>
      <w:r w:rsidRPr="00FE5E2F">
        <w:rPr>
          <w:rStyle w:val="FontStyle27"/>
          <w:sz w:val="20"/>
          <w:szCs w:val="20"/>
        </w:rPr>
        <w:t xml:space="preserve">D </w:t>
      </w:r>
      <w:r w:rsidRPr="00FE5E2F">
        <w:rPr>
          <w:rStyle w:val="FontStyle28"/>
          <w:sz w:val="20"/>
          <w:szCs w:val="20"/>
        </w:rPr>
        <w:t>równym 6,3 mm lub mniejszym.</w:t>
      </w:r>
    </w:p>
    <w:p w:rsidR="00FE5E2F" w:rsidRDefault="00FE5E2F" w:rsidP="00917119">
      <w:pPr>
        <w:numPr>
          <w:ilvl w:val="0"/>
          <w:numId w:val="0"/>
        </w:numPr>
        <w:overflowPunct/>
        <w:jc w:val="left"/>
        <w:textAlignment w:val="auto"/>
        <w:rPr>
          <w:rStyle w:val="FontStyle28"/>
          <w:sz w:val="20"/>
          <w:szCs w:val="20"/>
        </w:rPr>
      </w:pPr>
      <w:r w:rsidRPr="00FE5E2F">
        <w:rPr>
          <w:rStyle w:val="FontStyle28"/>
          <w:sz w:val="20"/>
          <w:szCs w:val="20"/>
        </w:rPr>
        <w:t xml:space="preserve">1.4.8. </w:t>
      </w:r>
      <w:r w:rsidRPr="00FE5E2F">
        <w:rPr>
          <w:rStyle w:val="FontStyle28"/>
          <w:b/>
          <w:sz w:val="20"/>
          <w:szCs w:val="20"/>
        </w:rPr>
        <w:t>Kruszywo o ciągłym uziarnieniu</w:t>
      </w:r>
      <w:r w:rsidRPr="00FE5E2F">
        <w:rPr>
          <w:rStyle w:val="FontStyle28"/>
          <w:sz w:val="20"/>
          <w:szCs w:val="20"/>
        </w:rPr>
        <w:t xml:space="preserve"> (wg PN-EN 13242) - kruszywo stanowiące mieszankę kruszyw grubych i drobnych, w której </w:t>
      </w:r>
      <w:r w:rsidR="00EC3445">
        <w:rPr>
          <w:rStyle w:val="FontStyle28"/>
          <w:sz w:val="20"/>
          <w:szCs w:val="20"/>
        </w:rPr>
        <w:t>D</w:t>
      </w:r>
      <w:r w:rsidRPr="00FE5E2F">
        <w:rPr>
          <w:rStyle w:val="FontStyle28"/>
          <w:sz w:val="20"/>
          <w:szCs w:val="20"/>
        </w:rPr>
        <w:t xml:space="preserve"> jest większe niż 6,3 mm.</w:t>
      </w:r>
    </w:p>
    <w:p w:rsidR="008954B0" w:rsidRDefault="00407931" w:rsidP="00917119">
      <w:pPr>
        <w:numPr>
          <w:ilvl w:val="0"/>
          <w:numId w:val="0"/>
        </w:numPr>
        <w:overflowPunct/>
        <w:jc w:val="left"/>
        <w:textAlignment w:val="auto"/>
        <w:rPr>
          <w:rStyle w:val="FontStyle52"/>
          <w:sz w:val="20"/>
          <w:szCs w:val="20"/>
        </w:rPr>
      </w:pPr>
      <w:r w:rsidRPr="00B57BC4">
        <w:rPr>
          <w:rFonts w:eastAsia="CenturyGothic"/>
          <w:kern w:val="0"/>
        </w:rPr>
        <w:t>1.4.</w:t>
      </w:r>
      <w:r w:rsidR="008954B0">
        <w:rPr>
          <w:rFonts w:eastAsia="CenturyGothic"/>
          <w:kern w:val="0"/>
        </w:rPr>
        <w:t>9</w:t>
      </w:r>
      <w:r w:rsidRPr="00B57BC4">
        <w:rPr>
          <w:rFonts w:eastAsia="CenturyGothic"/>
          <w:kern w:val="0"/>
        </w:rPr>
        <w:t xml:space="preserve">. </w:t>
      </w:r>
      <w:r w:rsidR="009E2A23" w:rsidRPr="00B57BC4">
        <w:rPr>
          <w:rFonts w:eastAsia="CenturyGothic"/>
          <w:b/>
          <w:kern w:val="0"/>
        </w:rPr>
        <w:t xml:space="preserve">Partia </w:t>
      </w:r>
      <w:r w:rsidR="00B57BC4" w:rsidRPr="00B57BC4">
        <w:rPr>
          <w:rStyle w:val="FontStyle52"/>
          <w:sz w:val="20"/>
          <w:szCs w:val="20"/>
        </w:rPr>
        <w:t>- wielkość produkcji, wielkość dostawy, dostawę dzieloną (np. ładunek wagonowy, ładunek samochodu ciężarowego, ładunek barki) lub hałdę, która została wyprodukowana w</w:t>
      </w:r>
      <w:r w:rsidR="00B57BC4">
        <w:rPr>
          <w:rStyle w:val="FontStyle52"/>
          <w:sz w:val="20"/>
          <w:szCs w:val="20"/>
        </w:rPr>
        <w:t xml:space="preserve"> </w:t>
      </w:r>
      <w:r w:rsidR="00B57BC4" w:rsidRPr="00B57BC4">
        <w:rPr>
          <w:rStyle w:val="FontStyle52"/>
          <w:sz w:val="20"/>
          <w:szCs w:val="20"/>
        </w:rPr>
        <w:t>okresie występowania jednakowych warunków. Przy ciągłym procesie produkcyjnym, jako</w:t>
      </w:r>
      <w:r w:rsidR="00B57BC4">
        <w:rPr>
          <w:rStyle w:val="FontStyle52"/>
          <w:sz w:val="20"/>
          <w:szCs w:val="20"/>
        </w:rPr>
        <w:t xml:space="preserve"> </w:t>
      </w:r>
      <w:r w:rsidR="00B57BC4" w:rsidRPr="00B57BC4">
        <w:rPr>
          <w:rStyle w:val="FontStyle52"/>
          <w:sz w:val="20"/>
          <w:szCs w:val="20"/>
        </w:rPr>
        <w:t>partię należy przyjmować ilość wyprodukowaną w ustalonym czasie.</w:t>
      </w:r>
    </w:p>
    <w:p w:rsidR="00C201AF" w:rsidRPr="008954B0" w:rsidRDefault="00BE77A7" w:rsidP="00917119">
      <w:pPr>
        <w:numPr>
          <w:ilvl w:val="0"/>
          <w:numId w:val="0"/>
        </w:numPr>
        <w:overflowPunct/>
        <w:jc w:val="left"/>
        <w:textAlignment w:val="auto"/>
        <w:rPr>
          <w:rStyle w:val="FontStyle28"/>
          <w:rFonts w:eastAsia="CenturyGothic"/>
          <w:b/>
          <w:kern w:val="0"/>
          <w:sz w:val="20"/>
          <w:szCs w:val="20"/>
        </w:rPr>
      </w:pPr>
      <w:r w:rsidRPr="00C201AF">
        <w:rPr>
          <w:rFonts w:eastAsia="CenturyGothic"/>
        </w:rPr>
        <w:t>1.4.</w:t>
      </w:r>
      <w:r w:rsidR="00FE5E2F" w:rsidRPr="00C201AF">
        <w:rPr>
          <w:rFonts w:eastAsia="CenturyGothic"/>
        </w:rPr>
        <w:t>1</w:t>
      </w:r>
      <w:r w:rsidR="00407931">
        <w:rPr>
          <w:rFonts w:eastAsia="CenturyGothic"/>
        </w:rPr>
        <w:t>1</w:t>
      </w:r>
      <w:r w:rsidRPr="00C201AF">
        <w:rPr>
          <w:rFonts w:eastAsia="CenturyGothic"/>
        </w:rPr>
        <w:t xml:space="preserve">. </w:t>
      </w:r>
      <w:r w:rsidR="00FE5E2F" w:rsidRPr="008954B0">
        <w:rPr>
          <w:rStyle w:val="FontStyle28"/>
          <w:b/>
          <w:sz w:val="20"/>
          <w:szCs w:val="20"/>
        </w:rPr>
        <w:t>Symbole i skróty dodatkowe</w:t>
      </w:r>
    </w:p>
    <w:p w:rsidR="00FE5E2F" w:rsidRPr="00C201AF" w:rsidRDefault="00FE5E2F" w:rsidP="00917119">
      <w:pPr>
        <w:pStyle w:val="Style6"/>
        <w:widowControl/>
        <w:tabs>
          <w:tab w:val="left" w:pos="619"/>
        </w:tabs>
        <w:spacing w:before="14"/>
        <w:ind w:left="11" w:right="5832"/>
        <w:rPr>
          <w:rStyle w:val="FontStyle28"/>
          <w:sz w:val="20"/>
          <w:szCs w:val="20"/>
        </w:rPr>
      </w:pPr>
      <w:r w:rsidRPr="00C201AF">
        <w:rPr>
          <w:rStyle w:val="FontStyle28"/>
          <w:sz w:val="20"/>
          <w:szCs w:val="20"/>
        </w:rPr>
        <w:t>% m</w:t>
      </w:r>
      <w:r w:rsidR="00C201AF">
        <w:rPr>
          <w:rStyle w:val="FontStyle28"/>
          <w:sz w:val="20"/>
          <w:szCs w:val="20"/>
        </w:rPr>
        <w:t>/</w:t>
      </w:r>
      <w:r w:rsidRPr="00C201AF">
        <w:rPr>
          <w:rStyle w:val="FontStyle28"/>
          <w:sz w:val="20"/>
          <w:szCs w:val="20"/>
        </w:rPr>
        <w:t xml:space="preserve">m </w:t>
      </w:r>
      <w:r w:rsidR="00C201AF">
        <w:rPr>
          <w:rStyle w:val="FontStyle28"/>
          <w:sz w:val="20"/>
          <w:szCs w:val="20"/>
        </w:rPr>
        <w:tab/>
      </w:r>
      <w:r w:rsidRPr="00C201AF">
        <w:rPr>
          <w:rStyle w:val="FontStyle28"/>
          <w:sz w:val="20"/>
          <w:szCs w:val="20"/>
        </w:rPr>
        <w:t>procent masy,</w:t>
      </w:r>
    </w:p>
    <w:p w:rsidR="00C201AF" w:rsidRDefault="00FE5E2F" w:rsidP="00917119">
      <w:pPr>
        <w:pStyle w:val="Style4"/>
        <w:widowControl/>
        <w:spacing w:line="230" w:lineRule="exact"/>
        <w:ind w:left="14" w:right="4393" w:firstLine="695"/>
        <w:jc w:val="left"/>
        <w:rPr>
          <w:rStyle w:val="FontStyle28"/>
          <w:sz w:val="20"/>
          <w:szCs w:val="20"/>
        </w:rPr>
      </w:pPr>
      <w:r w:rsidRPr="00C201AF">
        <w:rPr>
          <w:rStyle w:val="FontStyle28"/>
          <w:sz w:val="20"/>
          <w:szCs w:val="20"/>
        </w:rPr>
        <w:t>NR</w:t>
      </w:r>
      <w:r w:rsidR="00C201AF">
        <w:rPr>
          <w:rStyle w:val="FontStyle28"/>
          <w:sz w:val="20"/>
          <w:szCs w:val="20"/>
        </w:rPr>
        <w:tab/>
      </w:r>
      <w:r w:rsidRPr="00C201AF">
        <w:rPr>
          <w:rStyle w:val="FontStyle28"/>
          <w:sz w:val="20"/>
          <w:szCs w:val="20"/>
        </w:rPr>
        <w:t>brak konieczności badania danej</w:t>
      </w:r>
      <w:r w:rsidR="008954B0">
        <w:rPr>
          <w:rStyle w:val="FontStyle28"/>
          <w:sz w:val="20"/>
          <w:szCs w:val="20"/>
        </w:rPr>
        <w:t xml:space="preserve"> cechy,</w:t>
      </w:r>
    </w:p>
    <w:p w:rsidR="00FE5E2F" w:rsidRPr="00C201AF" w:rsidRDefault="00FE5E2F" w:rsidP="00917119">
      <w:pPr>
        <w:pStyle w:val="Style4"/>
        <w:widowControl/>
        <w:spacing w:line="230" w:lineRule="exact"/>
        <w:ind w:left="14" w:right="5054" w:firstLine="695"/>
        <w:jc w:val="left"/>
        <w:rPr>
          <w:rStyle w:val="FontStyle28"/>
          <w:sz w:val="20"/>
          <w:szCs w:val="20"/>
        </w:rPr>
      </w:pPr>
      <w:r w:rsidRPr="00C201AF">
        <w:rPr>
          <w:rStyle w:val="FontStyle28"/>
          <w:sz w:val="20"/>
          <w:szCs w:val="20"/>
        </w:rPr>
        <w:t>CB</w:t>
      </w:r>
      <w:r w:rsidR="00C201AF">
        <w:rPr>
          <w:rStyle w:val="FontStyle28"/>
          <w:sz w:val="20"/>
          <w:szCs w:val="20"/>
        </w:rPr>
        <w:t>R</w:t>
      </w:r>
      <w:r w:rsidR="00C201AF">
        <w:rPr>
          <w:rStyle w:val="FontStyle28"/>
          <w:sz w:val="20"/>
          <w:szCs w:val="20"/>
        </w:rPr>
        <w:tab/>
      </w:r>
      <w:r w:rsidRPr="00C201AF">
        <w:rPr>
          <w:rStyle w:val="FontStyle28"/>
          <w:sz w:val="20"/>
          <w:szCs w:val="20"/>
        </w:rPr>
        <w:t>kalifornijski wskaźnik nośności, %</w:t>
      </w:r>
      <w:r w:rsidR="00C201AF">
        <w:rPr>
          <w:rStyle w:val="FontStyle28"/>
          <w:sz w:val="20"/>
          <w:szCs w:val="20"/>
        </w:rPr>
        <w:t>,</w:t>
      </w:r>
    </w:p>
    <w:p w:rsidR="00C201AF" w:rsidRDefault="00FE5E2F" w:rsidP="00917119">
      <w:pPr>
        <w:pStyle w:val="Style4"/>
        <w:widowControl/>
        <w:spacing w:line="230" w:lineRule="exact"/>
        <w:ind w:left="1417" w:hanging="708"/>
        <w:jc w:val="left"/>
        <w:rPr>
          <w:rStyle w:val="FontStyle28"/>
          <w:sz w:val="20"/>
          <w:szCs w:val="20"/>
        </w:rPr>
      </w:pPr>
      <w:r w:rsidRPr="00C201AF">
        <w:rPr>
          <w:rStyle w:val="FontStyle28"/>
          <w:sz w:val="20"/>
          <w:szCs w:val="20"/>
        </w:rPr>
        <w:t>SDV</w:t>
      </w:r>
      <w:r w:rsidR="00C201AF">
        <w:rPr>
          <w:rStyle w:val="FontStyle28"/>
          <w:sz w:val="20"/>
          <w:szCs w:val="20"/>
        </w:rPr>
        <w:tab/>
      </w:r>
      <w:r w:rsidRPr="00C201AF">
        <w:rPr>
          <w:rStyle w:val="FontStyle28"/>
          <w:sz w:val="20"/>
          <w:szCs w:val="20"/>
        </w:rPr>
        <w:t>obszar uziarnienia, w którym powinna się mieścić krzywa uziarnienia mieszanki (S) deklarowana</w:t>
      </w:r>
      <w:r w:rsidR="00C201AF">
        <w:rPr>
          <w:rStyle w:val="FontStyle28"/>
          <w:sz w:val="20"/>
          <w:szCs w:val="20"/>
        </w:rPr>
        <w:t xml:space="preserve"> </w:t>
      </w:r>
      <w:r w:rsidRPr="00C201AF">
        <w:rPr>
          <w:rStyle w:val="FontStyle28"/>
          <w:sz w:val="20"/>
          <w:szCs w:val="20"/>
        </w:rPr>
        <w:t>przez dostawcę/producenta,</w:t>
      </w:r>
    </w:p>
    <w:p w:rsidR="00FE5E2F" w:rsidRDefault="00FE5E2F" w:rsidP="00917119">
      <w:pPr>
        <w:pStyle w:val="Style4"/>
        <w:widowControl/>
        <w:spacing w:line="230" w:lineRule="exact"/>
        <w:ind w:firstLine="709"/>
        <w:jc w:val="left"/>
        <w:rPr>
          <w:rStyle w:val="FontStyle28"/>
          <w:sz w:val="20"/>
          <w:szCs w:val="20"/>
        </w:rPr>
      </w:pPr>
      <w:r w:rsidRPr="00C201AF">
        <w:rPr>
          <w:rStyle w:val="FontStyle28"/>
          <w:sz w:val="20"/>
          <w:szCs w:val="20"/>
        </w:rPr>
        <w:t>ZKP</w:t>
      </w:r>
      <w:r w:rsidR="00C201AF">
        <w:rPr>
          <w:rStyle w:val="FontStyle28"/>
          <w:sz w:val="20"/>
          <w:szCs w:val="20"/>
        </w:rPr>
        <w:tab/>
      </w:r>
      <w:r w:rsidRPr="00C201AF">
        <w:rPr>
          <w:rStyle w:val="FontStyle28"/>
          <w:sz w:val="20"/>
          <w:szCs w:val="20"/>
        </w:rPr>
        <w:t>zakładowa kontrola produkcji.</w:t>
      </w:r>
    </w:p>
    <w:p w:rsidR="00C11B56" w:rsidRDefault="00C11B56" w:rsidP="00917119">
      <w:pPr>
        <w:pStyle w:val="Style4"/>
        <w:widowControl/>
        <w:spacing w:line="230" w:lineRule="exact"/>
        <w:ind w:left="709"/>
        <w:jc w:val="left"/>
        <w:rPr>
          <w:rStyle w:val="FontStyle28"/>
          <w:sz w:val="20"/>
          <w:szCs w:val="20"/>
        </w:rPr>
      </w:pPr>
    </w:p>
    <w:p w:rsidR="00C11B56" w:rsidRDefault="00C11B56" w:rsidP="00917119">
      <w:pPr>
        <w:pStyle w:val="Style4"/>
        <w:widowControl/>
        <w:spacing w:line="230" w:lineRule="exact"/>
        <w:ind w:left="709"/>
        <w:jc w:val="left"/>
        <w:rPr>
          <w:rStyle w:val="FontStyle28"/>
          <w:sz w:val="20"/>
          <w:szCs w:val="20"/>
        </w:rPr>
      </w:pPr>
    </w:p>
    <w:p w:rsidR="00C11B56" w:rsidRDefault="00C11B56" w:rsidP="00917119">
      <w:pPr>
        <w:pStyle w:val="Style4"/>
        <w:widowControl/>
        <w:spacing w:line="230" w:lineRule="exact"/>
        <w:ind w:left="709"/>
        <w:jc w:val="left"/>
        <w:rPr>
          <w:rStyle w:val="FontStyle28"/>
          <w:sz w:val="20"/>
          <w:szCs w:val="20"/>
        </w:rPr>
      </w:pPr>
    </w:p>
    <w:p w:rsidR="00C11B56" w:rsidRDefault="00C11B56" w:rsidP="00917119">
      <w:pPr>
        <w:pStyle w:val="Style4"/>
        <w:widowControl/>
        <w:spacing w:line="230" w:lineRule="exact"/>
        <w:ind w:left="709"/>
        <w:jc w:val="left"/>
        <w:rPr>
          <w:rStyle w:val="FontStyle28"/>
          <w:sz w:val="20"/>
          <w:szCs w:val="20"/>
        </w:rPr>
      </w:pPr>
    </w:p>
    <w:p w:rsidR="00C11B56" w:rsidRDefault="00C11B56" w:rsidP="00917119">
      <w:pPr>
        <w:pStyle w:val="Style4"/>
        <w:widowControl/>
        <w:spacing w:line="230" w:lineRule="exact"/>
        <w:ind w:left="709"/>
        <w:jc w:val="left"/>
        <w:rPr>
          <w:rStyle w:val="FontStyle28"/>
          <w:sz w:val="20"/>
          <w:szCs w:val="20"/>
        </w:rPr>
      </w:pPr>
    </w:p>
    <w:p w:rsidR="00C11B56" w:rsidRPr="00C201AF" w:rsidRDefault="00C11B56" w:rsidP="00917119">
      <w:pPr>
        <w:pStyle w:val="Style4"/>
        <w:widowControl/>
        <w:spacing w:line="230" w:lineRule="exact"/>
        <w:ind w:left="709"/>
        <w:jc w:val="left"/>
        <w:rPr>
          <w:rStyle w:val="FontStyle28"/>
          <w:sz w:val="20"/>
          <w:szCs w:val="20"/>
        </w:rPr>
      </w:pPr>
    </w:p>
    <w:p w:rsidR="007C3D00" w:rsidRPr="00673AD3" w:rsidRDefault="007C3D00" w:rsidP="00917119">
      <w:pPr>
        <w:pStyle w:val="Nagwek2"/>
      </w:pPr>
      <w:r w:rsidRPr="00673AD3">
        <w:lastRenderedPageBreak/>
        <w:t>1.5. Ogólne wymagania dotyczące robót</w:t>
      </w:r>
    </w:p>
    <w:p w:rsidR="007C3D00" w:rsidRPr="00673AD3" w:rsidRDefault="007C3D00" w:rsidP="00917119">
      <w:pPr>
        <w:jc w:val="left"/>
      </w:pPr>
      <w:r w:rsidRPr="00673AD3">
        <w:t>Ogólne wymagania dotyczące</w:t>
      </w:r>
      <w:r w:rsidR="00C11B56">
        <w:t xml:space="preserve"> robót podano w Specyfikacji D</w:t>
      </w:r>
      <w:r w:rsidRPr="00673AD3">
        <w:t>-00.00.00 „Wymagania Ogólne” pkt. 1.5.</w:t>
      </w:r>
    </w:p>
    <w:p w:rsidR="007C3D00" w:rsidRPr="00673AD3" w:rsidRDefault="007C3D00" w:rsidP="00917119">
      <w:pPr>
        <w:pStyle w:val="Nagwek1"/>
      </w:pPr>
      <w:r w:rsidRPr="00673AD3">
        <w:t xml:space="preserve">2.  </w:t>
      </w:r>
      <w:r w:rsidRPr="00635AA5">
        <w:t>Materiały</w:t>
      </w:r>
    </w:p>
    <w:p w:rsidR="007C3D00" w:rsidRPr="00673AD3" w:rsidRDefault="007C3D00" w:rsidP="00917119">
      <w:pPr>
        <w:pStyle w:val="Nagwek2"/>
      </w:pPr>
      <w:r w:rsidRPr="00673AD3">
        <w:t xml:space="preserve">2.1. Warunki ogólne stosowania </w:t>
      </w:r>
      <w:r w:rsidRPr="00635AA5">
        <w:t>m</w:t>
      </w:r>
      <w:r w:rsidRPr="00673AD3">
        <w:t>ateriałów</w:t>
      </w:r>
    </w:p>
    <w:p w:rsidR="007C3D00" w:rsidRPr="00673AD3" w:rsidRDefault="007C3D00" w:rsidP="00917119">
      <w:pPr>
        <w:jc w:val="left"/>
      </w:pPr>
      <w:r w:rsidRPr="00673AD3">
        <w:t>Warunki ogólne stosowania materiałów, ich pozyskiwania i skład</w:t>
      </w:r>
      <w:r w:rsidR="00C11B56">
        <w:t>owania podano w Specyfikacji D</w:t>
      </w:r>
      <w:r w:rsidRPr="00673AD3">
        <w:t>-00.00.00 „Wymagania Ogólne” pkt. 2.</w:t>
      </w:r>
    </w:p>
    <w:p w:rsidR="007C3D00" w:rsidRDefault="007C3D00" w:rsidP="00917119">
      <w:pPr>
        <w:pStyle w:val="Nagwek2"/>
      </w:pPr>
      <w:r w:rsidRPr="00C67E87">
        <w:t xml:space="preserve">2.2. </w:t>
      </w:r>
      <w:r w:rsidR="00C67E87" w:rsidRPr="00C67E87">
        <w:t xml:space="preserve">Kruszywa stosowane do </w:t>
      </w:r>
      <w:r w:rsidR="00A064AB">
        <w:t>poboczy</w:t>
      </w:r>
    </w:p>
    <w:p w:rsidR="00B40168" w:rsidRPr="00056112" w:rsidRDefault="00B40168" w:rsidP="00917119">
      <w:pPr>
        <w:jc w:val="left"/>
      </w:pPr>
      <w:r w:rsidRPr="00056112">
        <w:t xml:space="preserve">Do wzmocnienia poboczy będzie zastosowana mieszanka kruszyw o uziarnieniu 0/31,5 mm odpowiadające wymaganiom WT-4 Mieszanki </w:t>
      </w:r>
      <w:r w:rsidR="00C11B56">
        <w:t>n</w:t>
      </w:r>
      <w:r w:rsidRPr="00056112">
        <w:t xml:space="preserve">iezwiązane 2010 dla podbudowy </w:t>
      </w:r>
      <w:r w:rsidR="0006182D">
        <w:t>zasadniczej</w:t>
      </w:r>
      <w:r w:rsidRPr="00056112">
        <w:t>. Kruszywo powinno być jednorodne bez zanieczyszczeń obcych i bez domieszek gliny.</w:t>
      </w:r>
    </w:p>
    <w:p w:rsidR="000D2388" w:rsidRPr="00B40168" w:rsidRDefault="000D2388" w:rsidP="00917119">
      <w:pPr>
        <w:jc w:val="left"/>
        <w:rPr>
          <w:rFonts w:eastAsia="CenturyGothic"/>
          <w:kern w:val="0"/>
        </w:rPr>
      </w:pPr>
      <w:r w:rsidRPr="00B40168">
        <w:rPr>
          <w:rFonts w:eastAsia="CenturyGothic"/>
          <w:kern w:val="0"/>
        </w:rPr>
        <w:t>Wymagania wobec kruszywa oparte s</w:t>
      </w:r>
      <w:r w:rsidRPr="00B40168">
        <w:rPr>
          <w:rFonts w:eastAsia="CenturyGothic" w:hint="eastAsia"/>
          <w:kern w:val="0"/>
        </w:rPr>
        <w:t>ą</w:t>
      </w:r>
      <w:r w:rsidRPr="00B40168">
        <w:rPr>
          <w:rFonts w:eastAsia="CenturyGothic"/>
          <w:kern w:val="0"/>
        </w:rPr>
        <w:t xml:space="preserve"> na klasyfikacji zgodnej z norm</w:t>
      </w:r>
      <w:r w:rsidRPr="00B40168">
        <w:rPr>
          <w:rFonts w:eastAsia="CenturyGothic" w:hint="eastAsia"/>
          <w:kern w:val="0"/>
        </w:rPr>
        <w:t>ą</w:t>
      </w:r>
      <w:r w:rsidRPr="00B40168">
        <w:rPr>
          <w:rFonts w:eastAsia="CenturyGothic"/>
          <w:kern w:val="0"/>
        </w:rPr>
        <w:t xml:space="preserve"> PN-EN 13242.</w:t>
      </w:r>
    </w:p>
    <w:p w:rsidR="000D2388" w:rsidRPr="000D2388" w:rsidRDefault="00E15E7F" w:rsidP="00917119">
      <w:pPr>
        <w:jc w:val="left"/>
        <w:rPr>
          <w:rFonts w:eastAsia="CenturyGothic"/>
          <w:kern w:val="0"/>
        </w:rPr>
      </w:pPr>
      <w:r>
        <w:rPr>
          <w:rFonts w:eastAsia="CenturyGothic"/>
          <w:kern w:val="0"/>
        </w:rPr>
        <w:t>Należy</w:t>
      </w:r>
      <w:r w:rsidR="000D2388" w:rsidRPr="00B40168">
        <w:rPr>
          <w:rFonts w:eastAsia="CenturyGothic"/>
          <w:kern w:val="0"/>
        </w:rPr>
        <w:t xml:space="preserve"> stosowa</w:t>
      </w:r>
      <w:r w:rsidR="000D2388" w:rsidRPr="00B40168">
        <w:rPr>
          <w:rFonts w:eastAsia="CenturyGothic" w:hint="eastAsia"/>
          <w:kern w:val="0"/>
        </w:rPr>
        <w:t>ć</w:t>
      </w:r>
      <w:r w:rsidR="000D2388" w:rsidRPr="00B40168">
        <w:rPr>
          <w:rFonts w:eastAsia="CenturyGothic"/>
          <w:kern w:val="0"/>
        </w:rPr>
        <w:t xml:space="preserve"> </w:t>
      </w:r>
      <w:r w:rsidR="0079496A" w:rsidRPr="00B40168">
        <w:rPr>
          <w:rFonts w:eastAsia="CenturyGothic"/>
          <w:kern w:val="0"/>
        </w:rPr>
        <w:t xml:space="preserve">kruszywo </w:t>
      </w:r>
      <w:r w:rsidR="00C11B56">
        <w:rPr>
          <w:rFonts w:eastAsia="CenturyGothic"/>
          <w:kern w:val="0"/>
        </w:rPr>
        <w:t xml:space="preserve">ze </w:t>
      </w:r>
      <w:r w:rsidR="00BB5C75">
        <w:rPr>
          <w:rFonts w:eastAsia="CenturyGothic"/>
          <w:kern w:val="0"/>
        </w:rPr>
        <w:t xml:space="preserve">litej </w:t>
      </w:r>
      <w:r w:rsidR="00C11B56">
        <w:rPr>
          <w:rFonts w:eastAsia="CenturyGothic"/>
          <w:kern w:val="0"/>
        </w:rPr>
        <w:t xml:space="preserve">skały </w:t>
      </w:r>
      <w:r>
        <w:rPr>
          <w:rFonts w:eastAsia="CenturyGothic"/>
          <w:kern w:val="0"/>
        </w:rPr>
        <w:t>magmowej</w:t>
      </w:r>
      <w:r w:rsidR="00B40168" w:rsidRPr="00056112">
        <w:rPr>
          <w:rFonts w:eastAsia="CenturyGothic"/>
          <w:kern w:val="0"/>
        </w:rPr>
        <w:t xml:space="preserve">. </w:t>
      </w:r>
      <w:r w:rsidR="000D2388" w:rsidRPr="000D2388">
        <w:rPr>
          <w:rFonts w:eastAsia="CenturyGothic"/>
          <w:kern w:val="0"/>
        </w:rPr>
        <w:t>Wymagania wobec kruszywa przeznaczonego do wytwarzania mieszanek niezwiązanych przedstawia tabl. 1.</w:t>
      </w:r>
    </w:p>
    <w:p w:rsidR="000D2388" w:rsidRDefault="000D2388" w:rsidP="00917119">
      <w:pPr>
        <w:jc w:val="left"/>
        <w:rPr>
          <w:rFonts w:eastAsia="CenturyGothic"/>
        </w:rPr>
      </w:pPr>
    </w:p>
    <w:p w:rsidR="007C3D00" w:rsidRDefault="000D2388" w:rsidP="00917119">
      <w:pPr>
        <w:pStyle w:val="Tabela"/>
      </w:pPr>
      <w:r>
        <w:t>Tablica 1. Wymagania wobec kruszyw do mieszanek niezwi</w:t>
      </w:r>
      <w:r>
        <w:rPr>
          <w:rFonts w:hint="eastAsia"/>
        </w:rPr>
        <w:t>ą</w:t>
      </w:r>
      <w:r>
        <w:t>zanych</w:t>
      </w:r>
      <w:r w:rsidR="008B1DFC">
        <w:t xml:space="preserve"> do zastosowania dla poboczy</w:t>
      </w:r>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3574"/>
        <w:gridCol w:w="3080"/>
        <w:gridCol w:w="1172"/>
      </w:tblGrid>
      <w:tr w:rsidR="00A064AB" w:rsidTr="008B1DFC">
        <w:trPr>
          <w:trHeight w:val="1110"/>
          <w:jc w:val="center"/>
        </w:trPr>
        <w:tc>
          <w:tcPr>
            <w:tcW w:w="556" w:type="pct"/>
            <w:vAlign w:val="center"/>
          </w:tcPr>
          <w:p w:rsidR="00A064AB" w:rsidRPr="0096660F" w:rsidRDefault="00A064AB" w:rsidP="00917119">
            <w:pPr>
              <w:numPr>
                <w:ilvl w:val="0"/>
                <w:numId w:val="0"/>
              </w:numPr>
              <w:overflowPunct/>
              <w:jc w:val="left"/>
              <w:textAlignment w:val="auto"/>
            </w:pPr>
            <w:r w:rsidRPr="004901B8">
              <w:rPr>
                <w:rFonts w:eastAsia="CenturyGothic"/>
                <w:kern w:val="0"/>
              </w:rPr>
              <w:t>Rozdział w PN-EN 13242</w:t>
            </w:r>
          </w:p>
        </w:tc>
        <w:tc>
          <w:tcPr>
            <w:tcW w:w="2166" w:type="pct"/>
            <w:vAlign w:val="center"/>
          </w:tcPr>
          <w:p w:rsidR="00A064AB" w:rsidRPr="0096660F" w:rsidRDefault="00A064AB" w:rsidP="00917119">
            <w:pPr>
              <w:ind w:firstLine="0"/>
              <w:jc w:val="left"/>
            </w:pPr>
            <w:r w:rsidRPr="004901B8">
              <w:rPr>
                <w:rFonts w:eastAsia="CenturyGothic"/>
                <w:kern w:val="0"/>
              </w:rPr>
              <w:t>Właściwość</w:t>
            </w:r>
          </w:p>
        </w:tc>
        <w:tc>
          <w:tcPr>
            <w:tcW w:w="1886" w:type="pct"/>
            <w:vAlign w:val="center"/>
          </w:tcPr>
          <w:p w:rsidR="00A064AB" w:rsidRPr="004901B8" w:rsidRDefault="00A064AB" w:rsidP="00917119">
            <w:pPr>
              <w:numPr>
                <w:ilvl w:val="0"/>
                <w:numId w:val="0"/>
              </w:numPr>
              <w:overflowPunct/>
              <w:jc w:val="left"/>
              <w:textAlignment w:val="auto"/>
              <w:rPr>
                <w:rFonts w:eastAsia="CenturyGothic"/>
                <w:kern w:val="0"/>
              </w:rPr>
            </w:pPr>
            <w:r w:rsidRPr="004901B8">
              <w:rPr>
                <w:rFonts w:eastAsia="CenturyGothic"/>
                <w:kern w:val="0"/>
              </w:rPr>
              <w:t>Wymagania wobec kruszywa do mieszanek niezwiązanych przeznaczonych do zastosowania</w:t>
            </w:r>
            <w:r w:rsidR="008B1DFC">
              <w:rPr>
                <w:rFonts w:eastAsia="CenturyGothic"/>
                <w:kern w:val="0"/>
              </w:rPr>
              <w:t xml:space="preserve"> dla</w:t>
            </w:r>
            <w:r w:rsidRPr="004901B8">
              <w:rPr>
                <w:rFonts w:eastAsia="CenturyGothic"/>
                <w:kern w:val="0"/>
              </w:rPr>
              <w:t xml:space="preserve"> </w:t>
            </w:r>
            <w:r>
              <w:rPr>
                <w:rFonts w:eastAsia="CenturyGothic"/>
                <w:kern w:val="0"/>
              </w:rPr>
              <w:t>poboczy</w:t>
            </w:r>
          </w:p>
        </w:tc>
        <w:tc>
          <w:tcPr>
            <w:tcW w:w="392" w:type="pct"/>
            <w:vAlign w:val="center"/>
          </w:tcPr>
          <w:p w:rsidR="00A064AB" w:rsidRPr="0096660F" w:rsidRDefault="00A064AB" w:rsidP="00917119">
            <w:pPr>
              <w:numPr>
                <w:ilvl w:val="0"/>
                <w:numId w:val="0"/>
              </w:numPr>
              <w:overflowPunct/>
              <w:jc w:val="left"/>
              <w:textAlignment w:val="auto"/>
            </w:pPr>
            <w:r w:rsidRPr="004901B8">
              <w:rPr>
                <w:rFonts w:eastAsia="CenturyGothic"/>
                <w:kern w:val="0"/>
              </w:rPr>
              <w:t xml:space="preserve">Odniesienie do tablicy </w:t>
            </w:r>
            <w:r w:rsidRPr="004901B8">
              <w:rPr>
                <w:rFonts w:eastAsia="CenturyGothic"/>
                <w:kern w:val="0"/>
              </w:rPr>
              <w:br/>
              <w:t>w PN-EN 13242</w:t>
            </w:r>
          </w:p>
        </w:tc>
      </w:tr>
      <w:tr w:rsidR="00A064AB" w:rsidRPr="0096660F" w:rsidTr="00A064AB">
        <w:trPr>
          <w:jc w:val="center"/>
        </w:trPr>
        <w:tc>
          <w:tcPr>
            <w:tcW w:w="556" w:type="pct"/>
            <w:vMerge w:val="restart"/>
            <w:vAlign w:val="center"/>
          </w:tcPr>
          <w:p w:rsidR="00A064AB" w:rsidRPr="0096660F" w:rsidRDefault="00A064AB" w:rsidP="00917119">
            <w:pPr>
              <w:ind w:firstLine="0"/>
              <w:jc w:val="left"/>
            </w:pPr>
            <w:r w:rsidRPr="004901B8">
              <w:rPr>
                <w:rFonts w:eastAsia="CenturyGothic"/>
                <w:kern w:val="0"/>
              </w:rPr>
              <w:t>4.1 - 4.2</w:t>
            </w:r>
          </w:p>
        </w:tc>
        <w:tc>
          <w:tcPr>
            <w:tcW w:w="2166" w:type="pct"/>
            <w:vMerge w:val="restart"/>
            <w:vAlign w:val="center"/>
          </w:tcPr>
          <w:p w:rsidR="00A064AB" w:rsidRPr="0096660F" w:rsidRDefault="00A064AB" w:rsidP="00917119">
            <w:pPr>
              <w:ind w:firstLine="0"/>
              <w:jc w:val="left"/>
            </w:pPr>
            <w:r w:rsidRPr="004901B8">
              <w:rPr>
                <w:rFonts w:eastAsia="CenturyGothic"/>
                <w:kern w:val="0"/>
              </w:rPr>
              <w:t>Zestaw sit #</w:t>
            </w:r>
          </w:p>
        </w:tc>
        <w:tc>
          <w:tcPr>
            <w:tcW w:w="1886" w:type="pct"/>
          </w:tcPr>
          <w:p w:rsidR="00A064AB" w:rsidRPr="004901B8" w:rsidRDefault="00A064AB" w:rsidP="00917119">
            <w:pPr>
              <w:ind w:firstLine="0"/>
              <w:jc w:val="left"/>
              <w:rPr>
                <w:rFonts w:eastAsia="CenturyGothic"/>
                <w:kern w:val="0"/>
              </w:rPr>
            </w:pPr>
            <w:r w:rsidRPr="004901B8">
              <w:rPr>
                <w:rFonts w:eastAsia="CenturyGothic"/>
                <w:kern w:val="0"/>
              </w:rPr>
              <w:t>0,063; 0,5; 1; 2;4; 5,6; 8; 11,2; 16; 22,4; 31,5; 45; 63 i 90 (zestaw podstawowy plus zestaw 1)</w:t>
            </w:r>
          </w:p>
        </w:tc>
        <w:tc>
          <w:tcPr>
            <w:tcW w:w="392" w:type="pct"/>
            <w:vMerge w:val="restart"/>
            <w:vAlign w:val="center"/>
          </w:tcPr>
          <w:p w:rsidR="00A064AB" w:rsidRPr="0096660F" w:rsidRDefault="00A064AB" w:rsidP="00917119">
            <w:pPr>
              <w:ind w:firstLine="0"/>
              <w:jc w:val="left"/>
            </w:pPr>
            <w:r w:rsidRPr="004901B8">
              <w:rPr>
                <w:rFonts w:eastAsia="CenturyGothic"/>
                <w:kern w:val="0"/>
              </w:rPr>
              <w:t>Tabl. 1</w:t>
            </w:r>
          </w:p>
        </w:tc>
      </w:tr>
      <w:tr w:rsidR="00A064AB" w:rsidRPr="0096660F" w:rsidTr="00A064AB">
        <w:trPr>
          <w:jc w:val="center"/>
        </w:trPr>
        <w:tc>
          <w:tcPr>
            <w:tcW w:w="556" w:type="pct"/>
            <w:vMerge/>
          </w:tcPr>
          <w:p w:rsidR="00A064AB" w:rsidRPr="0096660F" w:rsidRDefault="00A064AB" w:rsidP="00917119">
            <w:pPr>
              <w:ind w:firstLine="0"/>
              <w:jc w:val="left"/>
            </w:pPr>
          </w:p>
        </w:tc>
        <w:tc>
          <w:tcPr>
            <w:tcW w:w="2166" w:type="pct"/>
            <w:vMerge/>
          </w:tcPr>
          <w:p w:rsidR="00A064AB" w:rsidRPr="0096660F" w:rsidRDefault="00A064AB" w:rsidP="00917119">
            <w:pPr>
              <w:ind w:firstLine="0"/>
              <w:jc w:val="left"/>
            </w:pPr>
          </w:p>
        </w:tc>
        <w:tc>
          <w:tcPr>
            <w:tcW w:w="1886" w:type="pct"/>
          </w:tcPr>
          <w:p w:rsidR="00A064AB" w:rsidRPr="0096660F" w:rsidRDefault="00A064AB" w:rsidP="00917119">
            <w:pPr>
              <w:ind w:firstLine="0"/>
              <w:jc w:val="left"/>
            </w:pPr>
            <w:r w:rsidRPr="004901B8">
              <w:rPr>
                <w:rFonts w:eastAsia="CenturyGothic"/>
                <w:kern w:val="0"/>
              </w:rPr>
              <w:t>Wszystkie frakcje dozwolone</w:t>
            </w:r>
          </w:p>
        </w:tc>
        <w:tc>
          <w:tcPr>
            <w:tcW w:w="392" w:type="pct"/>
            <w:vMerge/>
            <w:vAlign w:val="center"/>
          </w:tcPr>
          <w:p w:rsidR="00A064AB" w:rsidRPr="0096660F" w:rsidRDefault="00A064AB" w:rsidP="00917119">
            <w:pPr>
              <w:ind w:firstLine="0"/>
              <w:jc w:val="left"/>
            </w:pPr>
          </w:p>
        </w:tc>
      </w:tr>
      <w:tr w:rsidR="00A064AB" w:rsidRPr="00F06AED" w:rsidTr="00A064AB">
        <w:trPr>
          <w:jc w:val="center"/>
        </w:trPr>
        <w:tc>
          <w:tcPr>
            <w:tcW w:w="556" w:type="pct"/>
            <w:vAlign w:val="center"/>
          </w:tcPr>
          <w:p w:rsidR="00A064AB" w:rsidRPr="00F06AED" w:rsidRDefault="00A064AB" w:rsidP="00917119">
            <w:pPr>
              <w:ind w:firstLine="0"/>
              <w:jc w:val="left"/>
            </w:pPr>
            <w:r w:rsidRPr="004901B8">
              <w:rPr>
                <w:rFonts w:eastAsia="CenturyGothic"/>
                <w:kern w:val="0"/>
              </w:rPr>
              <w:t>4.3.1</w:t>
            </w:r>
          </w:p>
        </w:tc>
        <w:tc>
          <w:tcPr>
            <w:tcW w:w="2166" w:type="pct"/>
            <w:vAlign w:val="center"/>
          </w:tcPr>
          <w:p w:rsidR="00A064AB" w:rsidRPr="00F06AED" w:rsidRDefault="00A064AB" w:rsidP="00917119">
            <w:pPr>
              <w:ind w:firstLine="0"/>
              <w:jc w:val="left"/>
            </w:pPr>
            <w:r w:rsidRPr="004901B8">
              <w:rPr>
                <w:rFonts w:eastAsia="CenturyGothic"/>
                <w:kern w:val="0"/>
              </w:rPr>
              <w:t>Uziarnienie wg PN-EN 933-1</w:t>
            </w:r>
          </w:p>
        </w:tc>
        <w:tc>
          <w:tcPr>
            <w:tcW w:w="1886" w:type="pct"/>
          </w:tcPr>
          <w:p w:rsidR="00A064AB" w:rsidRPr="004901B8" w:rsidRDefault="00A064AB" w:rsidP="00917119">
            <w:pPr>
              <w:numPr>
                <w:ilvl w:val="0"/>
                <w:numId w:val="0"/>
              </w:numPr>
              <w:overflowPunct/>
              <w:jc w:val="left"/>
              <w:textAlignment w:val="auto"/>
              <w:rPr>
                <w:rFonts w:eastAsia="CenturyGothic"/>
                <w:kern w:val="0"/>
              </w:rPr>
            </w:pPr>
            <w:r w:rsidRPr="004901B8">
              <w:rPr>
                <w:rFonts w:eastAsia="CenturyGothic"/>
                <w:kern w:val="0"/>
              </w:rPr>
              <w:t>G</w:t>
            </w:r>
            <w:r w:rsidRPr="004901B8">
              <w:rPr>
                <w:rFonts w:eastAsia="CenturyGothic"/>
                <w:kern w:val="0"/>
                <w:vertAlign w:val="subscript"/>
              </w:rPr>
              <w:t>C</w:t>
            </w:r>
            <w:r w:rsidRPr="004901B8">
              <w:rPr>
                <w:rFonts w:eastAsia="CenturyGothic"/>
                <w:kern w:val="0"/>
              </w:rPr>
              <w:t>8</w:t>
            </w:r>
            <w:r w:rsidR="0006182D">
              <w:rPr>
                <w:rFonts w:eastAsia="CenturyGothic"/>
                <w:kern w:val="0"/>
              </w:rPr>
              <w:t>0</w:t>
            </w:r>
            <w:r w:rsidRPr="004901B8">
              <w:rPr>
                <w:rFonts w:eastAsia="CenturyGothic"/>
                <w:kern w:val="0"/>
              </w:rPr>
              <w:t>/</w:t>
            </w:r>
            <w:r w:rsidR="0006182D">
              <w:rPr>
                <w:rFonts w:eastAsia="CenturyGothic"/>
                <w:kern w:val="0"/>
              </w:rPr>
              <w:t>20</w:t>
            </w:r>
          </w:p>
          <w:p w:rsidR="00A064AB" w:rsidRPr="004901B8" w:rsidRDefault="00A064AB" w:rsidP="00917119">
            <w:pPr>
              <w:numPr>
                <w:ilvl w:val="0"/>
                <w:numId w:val="0"/>
              </w:numPr>
              <w:overflowPunct/>
              <w:jc w:val="left"/>
              <w:textAlignment w:val="auto"/>
              <w:rPr>
                <w:rFonts w:eastAsia="CenturyGothic"/>
                <w:kern w:val="0"/>
              </w:rPr>
            </w:pPr>
            <w:r w:rsidRPr="004901B8">
              <w:rPr>
                <w:rFonts w:eastAsia="CenturyGothic"/>
                <w:kern w:val="0"/>
              </w:rPr>
              <w:t>G</w:t>
            </w:r>
            <w:r w:rsidRPr="004901B8">
              <w:rPr>
                <w:rFonts w:eastAsia="CenturyGothic"/>
                <w:kern w:val="0"/>
                <w:vertAlign w:val="subscript"/>
              </w:rPr>
              <w:t>F</w:t>
            </w:r>
            <w:r w:rsidR="0006182D">
              <w:rPr>
                <w:rFonts w:eastAsia="CenturyGothic"/>
                <w:kern w:val="0"/>
              </w:rPr>
              <w:t>80</w:t>
            </w:r>
          </w:p>
          <w:p w:rsidR="00A064AB" w:rsidRPr="004901B8" w:rsidRDefault="00A064AB" w:rsidP="00917119">
            <w:pPr>
              <w:ind w:firstLine="0"/>
              <w:jc w:val="left"/>
              <w:rPr>
                <w:rFonts w:eastAsia="CenturyGothic"/>
                <w:kern w:val="0"/>
              </w:rPr>
            </w:pPr>
            <w:r w:rsidRPr="004901B8">
              <w:rPr>
                <w:rFonts w:eastAsia="CenturyGothic"/>
                <w:kern w:val="0"/>
              </w:rPr>
              <w:t>G</w:t>
            </w:r>
            <w:r w:rsidRPr="004901B8">
              <w:rPr>
                <w:rFonts w:eastAsia="CenturyGothic"/>
                <w:kern w:val="0"/>
                <w:vertAlign w:val="subscript"/>
              </w:rPr>
              <w:t>A</w:t>
            </w:r>
            <w:r w:rsidR="0006182D">
              <w:rPr>
                <w:rFonts w:eastAsia="CenturyGothic"/>
                <w:kern w:val="0"/>
              </w:rPr>
              <w:t>7</w:t>
            </w:r>
            <w:r w:rsidRPr="004901B8">
              <w:rPr>
                <w:rFonts w:eastAsia="CenturyGothic"/>
                <w:kern w:val="0"/>
              </w:rPr>
              <w:t>5</w:t>
            </w:r>
          </w:p>
        </w:tc>
        <w:tc>
          <w:tcPr>
            <w:tcW w:w="392" w:type="pct"/>
            <w:vAlign w:val="center"/>
          </w:tcPr>
          <w:p w:rsidR="00A064AB" w:rsidRPr="00F06AED" w:rsidRDefault="00A064AB" w:rsidP="00917119">
            <w:pPr>
              <w:ind w:firstLine="0"/>
              <w:jc w:val="left"/>
            </w:pPr>
            <w:r w:rsidRPr="004901B8">
              <w:rPr>
                <w:rFonts w:eastAsia="CenturyGothic"/>
                <w:kern w:val="0"/>
              </w:rPr>
              <w:t>Tabl. 2</w:t>
            </w:r>
          </w:p>
        </w:tc>
      </w:tr>
      <w:tr w:rsidR="00A064AB" w:rsidRPr="00F06AED" w:rsidTr="00A064AB">
        <w:trPr>
          <w:jc w:val="center"/>
        </w:trPr>
        <w:tc>
          <w:tcPr>
            <w:tcW w:w="556" w:type="pct"/>
            <w:vAlign w:val="center"/>
          </w:tcPr>
          <w:p w:rsidR="00A064AB" w:rsidRPr="00F06AED" w:rsidRDefault="00A064AB" w:rsidP="00917119">
            <w:pPr>
              <w:ind w:firstLine="0"/>
              <w:jc w:val="left"/>
            </w:pPr>
            <w:r w:rsidRPr="004901B8">
              <w:rPr>
                <w:rFonts w:eastAsia="CenturyGothic"/>
                <w:kern w:val="0"/>
              </w:rPr>
              <w:t>4.3.2</w:t>
            </w:r>
          </w:p>
        </w:tc>
        <w:tc>
          <w:tcPr>
            <w:tcW w:w="2166" w:type="pct"/>
          </w:tcPr>
          <w:p w:rsidR="00A064AB" w:rsidRPr="00F06AED" w:rsidRDefault="00A064AB" w:rsidP="00917119">
            <w:pPr>
              <w:numPr>
                <w:ilvl w:val="0"/>
                <w:numId w:val="0"/>
              </w:numPr>
              <w:overflowPunct/>
              <w:jc w:val="left"/>
              <w:textAlignment w:val="auto"/>
            </w:pPr>
            <w:r w:rsidRPr="004901B8">
              <w:rPr>
                <w:rFonts w:eastAsia="CenturyGothic"/>
                <w:kern w:val="0"/>
              </w:rPr>
              <w:t>Ogólne granice i tolerancje uziarnienia kruszywa grubego na sitach pośrednich wg PN-EN 933-1</w:t>
            </w:r>
          </w:p>
        </w:tc>
        <w:tc>
          <w:tcPr>
            <w:tcW w:w="1886" w:type="pct"/>
          </w:tcPr>
          <w:p w:rsidR="00A064AB" w:rsidRPr="00056112" w:rsidRDefault="00A064AB" w:rsidP="00917119">
            <w:pPr>
              <w:ind w:firstLine="0"/>
              <w:jc w:val="left"/>
              <w:rPr>
                <w:rFonts w:eastAsia="CenturyGothic"/>
                <w:kern w:val="0"/>
              </w:rPr>
            </w:pPr>
            <w:r w:rsidRPr="00056112">
              <w:rPr>
                <w:rFonts w:eastAsia="CenturyGothic"/>
                <w:kern w:val="0"/>
              </w:rPr>
              <w:t>GT</w:t>
            </w:r>
            <w:r w:rsidRPr="00056112">
              <w:rPr>
                <w:rFonts w:eastAsia="CenturyGothic"/>
                <w:kern w:val="0"/>
                <w:vertAlign w:val="subscript"/>
              </w:rPr>
              <w:t>C</w:t>
            </w:r>
            <w:r w:rsidR="0006182D">
              <w:rPr>
                <w:rFonts w:eastAsia="CenturyGothic"/>
                <w:kern w:val="0"/>
              </w:rPr>
              <w:t>20/15</w:t>
            </w:r>
          </w:p>
        </w:tc>
        <w:tc>
          <w:tcPr>
            <w:tcW w:w="392" w:type="pct"/>
            <w:vAlign w:val="center"/>
          </w:tcPr>
          <w:p w:rsidR="00A064AB" w:rsidRPr="00F06AED" w:rsidRDefault="00A064AB" w:rsidP="00917119">
            <w:pPr>
              <w:ind w:firstLine="0"/>
              <w:jc w:val="left"/>
            </w:pPr>
            <w:r w:rsidRPr="004901B8">
              <w:rPr>
                <w:rFonts w:eastAsia="CenturyGothic"/>
                <w:kern w:val="0"/>
              </w:rPr>
              <w:t>Tabl. 3</w:t>
            </w:r>
          </w:p>
        </w:tc>
      </w:tr>
      <w:tr w:rsidR="00A064AB" w:rsidRPr="00F06AED" w:rsidTr="00A064AB">
        <w:trPr>
          <w:jc w:val="center"/>
        </w:trPr>
        <w:tc>
          <w:tcPr>
            <w:tcW w:w="556" w:type="pct"/>
            <w:vAlign w:val="center"/>
          </w:tcPr>
          <w:p w:rsidR="00A064AB" w:rsidRPr="00F06AED" w:rsidRDefault="00A064AB" w:rsidP="00917119">
            <w:pPr>
              <w:ind w:firstLine="0"/>
              <w:jc w:val="left"/>
            </w:pPr>
            <w:r w:rsidRPr="004901B8">
              <w:rPr>
                <w:rFonts w:eastAsia="CenturyGothic"/>
                <w:kern w:val="0"/>
              </w:rPr>
              <w:t>4.3.3</w:t>
            </w:r>
          </w:p>
        </w:tc>
        <w:tc>
          <w:tcPr>
            <w:tcW w:w="2166" w:type="pct"/>
          </w:tcPr>
          <w:p w:rsidR="00A064AB" w:rsidRPr="00F06AED" w:rsidRDefault="00A064AB" w:rsidP="00917119">
            <w:pPr>
              <w:numPr>
                <w:ilvl w:val="0"/>
                <w:numId w:val="0"/>
              </w:numPr>
              <w:overflowPunct/>
              <w:jc w:val="left"/>
              <w:textAlignment w:val="auto"/>
            </w:pPr>
            <w:r w:rsidRPr="004901B8">
              <w:rPr>
                <w:rFonts w:eastAsia="CenturyGothic"/>
                <w:kern w:val="0"/>
              </w:rPr>
              <w:t>Tolerancje typowego uziarnienia kruszywa drobnego i kruszywa o ciągłym uziarnieniu wg PN-EN 933-1</w:t>
            </w:r>
          </w:p>
        </w:tc>
        <w:tc>
          <w:tcPr>
            <w:tcW w:w="1886" w:type="pct"/>
          </w:tcPr>
          <w:p w:rsidR="00A064AB" w:rsidRPr="00056112" w:rsidRDefault="00A064AB" w:rsidP="00917119">
            <w:pPr>
              <w:numPr>
                <w:ilvl w:val="0"/>
                <w:numId w:val="0"/>
              </w:numPr>
              <w:overflowPunct/>
              <w:jc w:val="left"/>
              <w:textAlignment w:val="auto"/>
              <w:rPr>
                <w:rFonts w:eastAsia="CenturyGothic"/>
                <w:kern w:val="0"/>
              </w:rPr>
            </w:pPr>
            <w:r w:rsidRPr="00056112">
              <w:rPr>
                <w:rFonts w:eastAsia="CenturyGothic"/>
                <w:kern w:val="0"/>
              </w:rPr>
              <w:t>GT</w:t>
            </w:r>
            <w:r w:rsidRPr="00056112">
              <w:rPr>
                <w:rFonts w:eastAsia="CenturyGothic"/>
                <w:kern w:val="0"/>
                <w:vertAlign w:val="subscript"/>
              </w:rPr>
              <w:t>F</w:t>
            </w:r>
            <w:r w:rsidR="0006182D">
              <w:rPr>
                <w:rFonts w:eastAsia="CenturyGothic"/>
                <w:kern w:val="0"/>
              </w:rPr>
              <w:t>10</w:t>
            </w:r>
          </w:p>
          <w:p w:rsidR="00A064AB" w:rsidRPr="00056112" w:rsidRDefault="00A064AB" w:rsidP="00917119">
            <w:pPr>
              <w:ind w:firstLine="0"/>
              <w:jc w:val="left"/>
              <w:rPr>
                <w:rFonts w:eastAsia="CenturyGothic"/>
                <w:kern w:val="0"/>
              </w:rPr>
            </w:pPr>
            <w:r w:rsidRPr="00056112">
              <w:rPr>
                <w:rFonts w:eastAsia="CenturyGothic"/>
                <w:kern w:val="0"/>
              </w:rPr>
              <w:t>GT</w:t>
            </w:r>
            <w:r w:rsidRPr="00056112">
              <w:rPr>
                <w:rFonts w:eastAsia="CenturyGothic"/>
                <w:kern w:val="0"/>
                <w:vertAlign w:val="subscript"/>
              </w:rPr>
              <w:t>A</w:t>
            </w:r>
            <w:r w:rsidR="0006182D">
              <w:rPr>
                <w:rFonts w:eastAsia="CenturyGothic"/>
                <w:kern w:val="0"/>
              </w:rPr>
              <w:t>20</w:t>
            </w:r>
          </w:p>
        </w:tc>
        <w:tc>
          <w:tcPr>
            <w:tcW w:w="392" w:type="pct"/>
            <w:vAlign w:val="center"/>
          </w:tcPr>
          <w:p w:rsidR="00A064AB" w:rsidRPr="00F06AED" w:rsidRDefault="00A064AB" w:rsidP="00917119">
            <w:pPr>
              <w:ind w:firstLine="0"/>
              <w:jc w:val="left"/>
            </w:pPr>
            <w:r w:rsidRPr="004901B8">
              <w:rPr>
                <w:rFonts w:eastAsia="CenturyGothic"/>
                <w:kern w:val="0"/>
              </w:rPr>
              <w:t>Tabl. 4</w:t>
            </w:r>
          </w:p>
        </w:tc>
      </w:tr>
      <w:tr w:rsidR="00A064AB" w:rsidRPr="00F06AED" w:rsidTr="00A064AB">
        <w:trPr>
          <w:jc w:val="center"/>
        </w:trPr>
        <w:tc>
          <w:tcPr>
            <w:tcW w:w="556" w:type="pct"/>
            <w:vMerge w:val="restart"/>
            <w:vAlign w:val="center"/>
          </w:tcPr>
          <w:p w:rsidR="00A064AB" w:rsidRPr="00F06AED" w:rsidRDefault="00A064AB" w:rsidP="00917119">
            <w:pPr>
              <w:ind w:firstLine="0"/>
              <w:jc w:val="left"/>
            </w:pPr>
            <w:r w:rsidRPr="004901B8">
              <w:rPr>
                <w:rFonts w:eastAsia="CenturyGothic"/>
                <w:kern w:val="0"/>
              </w:rPr>
              <w:t>4.4.</w:t>
            </w:r>
          </w:p>
        </w:tc>
        <w:tc>
          <w:tcPr>
            <w:tcW w:w="2166" w:type="pct"/>
          </w:tcPr>
          <w:p w:rsidR="00A064AB" w:rsidRPr="004901B8" w:rsidRDefault="00A064AB" w:rsidP="00917119">
            <w:pPr>
              <w:numPr>
                <w:ilvl w:val="0"/>
                <w:numId w:val="0"/>
              </w:numPr>
              <w:overflowPunct/>
              <w:jc w:val="left"/>
              <w:textAlignment w:val="auto"/>
              <w:rPr>
                <w:rFonts w:eastAsia="CenturyGothic"/>
                <w:kern w:val="0"/>
              </w:rPr>
            </w:pPr>
            <w:r w:rsidRPr="004901B8">
              <w:rPr>
                <w:rFonts w:eastAsia="CenturyGothic"/>
                <w:kern w:val="0"/>
              </w:rPr>
              <w:t>Kształt kruszywa grubego wg PN-EN 933-4</w:t>
            </w:r>
          </w:p>
          <w:p w:rsidR="00A064AB" w:rsidRPr="00F06AED" w:rsidRDefault="00A064AB" w:rsidP="00917119">
            <w:pPr>
              <w:numPr>
                <w:ilvl w:val="0"/>
                <w:numId w:val="0"/>
              </w:numPr>
              <w:overflowPunct/>
              <w:jc w:val="left"/>
              <w:textAlignment w:val="auto"/>
            </w:pPr>
            <w:r w:rsidRPr="004901B8">
              <w:rPr>
                <w:rFonts w:eastAsia="CenturyGothic"/>
                <w:kern w:val="0"/>
              </w:rPr>
              <w:t>a) maksymalne wartości wskaźnika płaskości lub</w:t>
            </w:r>
          </w:p>
        </w:tc>
        <w:tc>
          <w:tcPr>
            <w:tcW w:w="1886" w:type="pct"/>
            <w:vAlign w:val="center"/>
          </w:tcPr>
          <w:p w:rsidR="00A064AB" w:rsidRPr="00056112" w:rsidRDefault="00A064AB" w:rsidP="00917119">
            <w:pPr>
              <w:ind w:firstLine="0"/>
              <w:jc w:val="left"/>
            </w:pPr>
            <w:r w:rsidRPr="00056112">
              <w:rPr>
                <w:rFonts w:eastAsia="CenturyGothic"/>
                <w:kern w:val="0"/>
              </w:rPr>
              <w:t>FI</w:t>
            </w:r>
            <w:r w:rsidR="0006182D">
              <w:rPr>
                <w:rFonts w:eastAsia="CenturyGothic"/>
                <w:kern w:val="0"/>
                <w:vertAlign w:val="subscript"/>
              </w:rPr>
              <w:t>50</w:t>
            </w:r>
          </w:p>
        </w:tc>
        <w:tc>
          <w:tcPr>
            <w:tcW w:w="392" w:type="pct"/>
            <w:vAlign w:val="center"/>
          </w:tcPr>
          <w:p w:rsidR="00A064AB" w:rsidRPr="00F06AED" w:rsidRDefault="00A064AB" w:rsidP="00917119">
            <w:pPr>
              <w:ind w:firstLine="0"/>
              <w:jc w:val="left"/>
            </w:pPr>
            <w:r w:rsidRPr="004901B8">
              <w:rPr>
                <w:rFonts w:eastAsia="CenturyGothic"/>
                <w:kern w:val="0"/>
              </w:rPr>
              <w:t>Tabl. 5</w:t>
            </w:r>
          </w:p>
        </w:tc>
      </w:tr>
      <w:tr w:rsidR="00A064AB" w:rsidRPr="00F06AED" w:rsidTr="00A064AB">
        <w:trPr>
          <w:jc w:val="center"/>
        </w:trPr>
        <w:tc>
          <w:tcPr>
            <w:tcW w:w="556" w:type="pct"/>
            <w:vMerge/>
            <w:vAlign w:val="center"/>
          </w:tcPr>
          <w:p w:rsidR="00A064AB" w:rsidRPr="00F06AED" w:rsidRDefault="00A064AB" w:rsidP="00917119">
            <w:pPr>
              <w:ind w:firstLine="0"/>
              <w:jc w:val="left"/>
            </w:pPr>
          </w:p>
        </w:tc>
        <w:tc>
          <w:tcPr>
            <w:tcW w:w="2166" w:type="pct"/>
          </w:tcPr>
          <w:p w:rsidR="00A064AB" w:rsidRPr="00F06AED" w:rsidRDefault="00A064AB" w:rsidP="00917119">
            <w:pPr>
              <w:numPr>
                <w:ilvl w:val="0"/>
                <w:numId w:val="0"/>
              </w:numPr>
              <w:overflowPunct/>
              <w:jc w:val="left"/>
              <w:textAlignment w:val="auto"/>
            </w:pPr>
            <w:r w:rsidRPr="004901B8">
              <w:rPr>
                <w:rFonts w:eastAsia="CenturyGothic"/>
                <w:kern w:val="0"/>
              </w:rPr>
              <w:t>b) lub maksymalne wartości wskaźnika kształtu</w:t>
            </w:r>
          </w:p>
        </w:tc>
        <w:tc>
          <w:tcPr>
            <w:tcW w:w="1886" w:type="pct"/>
            <w:vAlign w:val="center"/>
          </w:tcPr>
          <w:p w:rsidR="00A064AB" w:rsidRPr="00056112" w:rsidRDefault="00A064AB" w:rsidP="00917119">
            <w:pPr>
              <w:ind w:firstLine="0"/>
              <w:jc w:val="left"/>
            </w:pPr>
            <w:r w:rsidRPr="00056112">
              <w:rPr>
                <w:rFonts w:eastAsia="CenturyGothic"/>
                <w:kern w:val="0"/>
              </w:rPr>
              <w:t>SI</w:t>
            </w:r>
            <w:r w:rsidR="0006182D">
              <w:rPr>
                <w:rFonts w:eastAsia="CenturyGothic"/>
                <w:kern w:val="0"/>
                <w:vertAlign w:val="subscript"/>
              </w:rPr>
              <w:t>55</w:t>
            </w:r>
          </w:p>
        </w:tc>
        <w:tc>
          <w:tcPr>
            <w:tcW w:w="392" w:type="pct"/>
            <w:vAlign w:val="center"/>
          </w:tcPr>
          <w:p w:rsidR="00A064AB" w:rsidRPr="00F06AED" w:rsidRDefault="00A064AB" w:rsidP="00917119">
            <w:pPr>
              <w:ind w:firstLine="0"/>
              <w:jc w:val="left"/>
            </w:pPr>
            <w:r w:rsidRPr="004901B8">
              <w:rPr>
                <w:rFonts w:eastAsia="CenturyGothic"/>
                <w:kern w:val="0"/>
              </w:rPr>
              <w:t>Tabl. 6</w:t>
            </w:r>
          </w:p>
        </w:tc>
      </w:tr>
      <w:tr w:rsidR="00A064AB" w:rsidRPr="00CE271E" w:rsidTr="00A064AB">
        <w:trPr>
          <w:jc w:val="center"/>
        </w:trPr>
        <w:tc>
          <w:tcPr>
            <w:tcW w:w="556" w:type="pct"/>
            <w:vAlign w:val="center"/>
          </w:tcPr>
          <w:p w:rsidR="00A064AB" w:rsidRPr="00CE271E" w:rsidRDefault="00A064AB" w:rsidP="00917119">
            <w:pPr>
              <w:ind w:firstLine="0"/>
              <w:jc w:val="left"/>
            </w:pPr>
            <w:r w:rsidRPr="004901B8">
              <w:rPr>
                <w:rFonts w:eastAsia="CenturyGothic"/>
                <w:kern w:val="0"/>
              </w:rPr>
              <w:t>4.5</w:t>
            </w:r>
          </w:p>
        </w:tc>
        <w:tc>
          <w:tcPr>
            <w:tcW w:w="2166" w:type="pct"/>
          </w:tcPr>
          <w:p w:rsidR="00A064AB" w:rsidRPr="00CE271E" w:rsidRDefault="00A064AB" w:rsidP="00917119">
            <w:pPr>
              <w:numPr>
                <w:ilvl w:val="0"/>
                <w:numId w:val="0"/>
              </w:numPr>
              <w:overflowPunct/>
              <w:jc w:val="left"/>
              <w:textAlignment w:val="auto"/>
            </w:pPr>
            <w:r w:rsidRPr="004901B8">
              <w:rPr>
                <w:rFonts w:eastAsia="CenturyGothic"/>
                <w:kern w:val="0"/>
              </w:rPr>
              <w:t>Kategorie procentowych zawartości ziaren o powierzchni przekruszonej lub łamanych oraz ziaren całkowicie zaokrąglonych w kruszywie grubym wg PN-EN 933-5</w:t>
            </w:r>
          </w:p>
        </w:tc>
        <w:tc>
          <w:tcPr>
            <w:tcW w:w="1886" w:type="pct"/>
            <w:tcBorders>
              <w:bottom w:val="single" w:sz="4" w:space="0" w:color="auto"/>
            </w:tcBorders>
            <w:vAlign w:val="center"/>
          </w:tcPr>
          <w:p w:rsidR="00A064AB" w:rsidRPr="00056112" w:rsidRDefault="00A064AB" w:rsidP="00917119">
            <w:pPr>
              <w:ind w:firstLine="0"/>
              <w:jc w:val="left"/>
              <w:rPr>
                <w:rFonts w:eastAsia="CenturyGothic"/>
                <w:kern w:val="0"/>
              </w:rPr>
            </w:pPr>
            <w:r w:rsidRPr="00056112">
              <w:rPr>
                <w:rFonts w:eastAsia="CenturyGothic"/>
                <w:kern w:val="0"/>
              </w:rPr>
              <w:t>C</w:t>
            </w:r>
            <w:r w:rsidR="00C11B56">
              <w:rPr>
                <w:rFonts w:eastAsia="CenturyGothic"/>
                <w:kern w:val="0"/>
                <w:vertAlign w:val="subscript"/>
              </w:rPr>
              <w:t>90/3</w:t>
            </w:r>
          </w:p>
        </w:tc>
        <w:tc>
          <w:tcPr>
            <w:tcW w:w="392" w:type="pct"/>
            <w:vAlign w:val="center"/>
          </w:tcPr>
          <w:p w:rsidR="00A064AB" w:rsidRPr="00CE271E" w:rsidRDefault="00A064AB" w:rsidP="00917119">
            <w:pPr>
              <w:ind w:firstLine="0"/>
              <w:jc w:val="left"/>
            </w:pPr>
            <w:r w:rsidRPr="004901B8">
              <w:rPr>
                <w:rFonts w:eastAsia="CenturyGothic"/>
                <w:kern w:val="0"/>
              </w:rPr>
              <w:t>Tabl. 7</w:t>
            </w:r>
          </w:p>
        </w:tc>
      </w:tr>
      <w:tr w:rsidR="00A064AB" w:rsidRPr="00CE271E" w:rsidTr="00A064AB">
        <w:trPr>
          <w:jc w:val="center"/>
        </w:trPr>
        <w:tc>
          <w:tcPr>
            <w:tcW w:w="556" w:type="pct"/>
            <w:vMerge w:val="restart"/>
            <w:vAlign w:val="center"/>
          </w:tcPr>
          <w:p w:rsidR="00A064AB" w:rsidRPr="00CE271E" w:rsidRDefault="00A064AB" w:rsidP="00917119">
            <w:pPr>
              <w:ind w:firstLine="0"/>
              <w:jc w:val="left"/>
            </w:pPr>
            <w:r w:rsidRPr="004901B8">
              <w:rPr>
                <w:rFonts w:eastAsia="CenturyGothic"/>
                <w:kern w:val="0"/>
              </w:rPr>
              <w:t>4.6</w:t>
            </w:r>
          </w:p>
        </w:tc>
        <w:tc>
          <w:tcPr>
            <w:tcW w:w="2166" w:type="pct"/>
          </w:tcPr>
          <w:p w:rsidR="00A064AB" w:rsidRPr="004901B8" w:rsidRDefault="00A064AB" w:rsidP="00917119">
            <w:pPr>
              <w:numPr>
                <w:ilvl w:val="0"/>
                <w:numId w:val="0"/>
              </w:numPr>
              <w:overflowPunct/>
              <w:jc w:val="left"/>
              <w:textAlignment w:val="auto"/>
              <w:rPr>
                <w:rFonts w:eastAsia="CenturyGothic"/>
                <w:kern w:val="0"/>
              </w:rPr>
            </w:pPr>
            <w:r w:rsidRPr="004901B8">
              <w:rPr>
                <w:rFonts w:eastAsia="CenturyGothic"/>
                <w:kern w:val="0"/>
              </w:rPr>
              <w:t>Zawartość pyłów wg PN-EN 933-1</w:t>
            </w:r>
            <w:r w:rsidRPr="000113DB">
              <w:rPr>
                <w:rFonts w:eastAsia="CenturyGothic"/>
                <w:kern w:val="0"/>
                <w:vertAlign w:val="superscript"/>
              </w:rPr>
              <w:t>*)</w:t>
            </w:r>
            <w:r w:rsidRPr="004901B8">
              <w:rPr>
                <w:rFonts w:eastAsia="CenturyGothic"/>
                <w:kern w:val="0"/>
              </w:rPr>
              <w:t>:</w:t>
            </w:r>
          </w:p>
          <w:p w:rsidR="00A064AB" w:rsidRPr="00CE271E" w:rsidRDefault="00A064AB" w:rsidP="00917119">
            <w:pPr>
              <w:ind w:firstLine="0"/>
              <w:jc w:val="left"/>
            </w:pPr>
            <w:r w:rsidRPr="004901B8">
              <w:rPr>
                <w:rFonts w:eastAsia="CenturyGothic"/>
                <w:kern w:val="0"/>
              </w:rPr>
              <w:t>a) w kruszywie grubym</w:t>
            </w:r>
          </w:p>
        </w:tc>
        <w:tc>
          <w:tcPr>
            <w:tcW w:w="1886" w:type="pct"/>
            <w:tcBorders>
              <w:bottom w:val="single" w:sz="4" w:space="0" w:color="auto"/>
            </w:tcBorders>
            <w:vAlign w:val="center"/>
          </w:tcPr>
          <w:p w:rsidR="00A064AB" w:rsidRPr="004901B8" w:rsidRDefault="00473871" w:rsidP="00917119">
            <w:pPr>
              <w:ind w:firstLine="0"/>
              <w:jc w:val="left"/>
              <w:rPr>
                <w:rFonts w:eastAsia="CenturyGothic"/>
                <w:kern w:val="0"/>
              </w:rPr>
            </w:pPr>
            <w:r>
              <w:rPr>
                <w:rFonts w:eastAsia="CenturyGothic"/>
                <w:kern w:val="0"/>
              </w:rPr>
              <w:t xml:space="preserve">f </w:t>
            </w:r>
            <w:r w:rsidR="00A064AB" w:rsidRPr="004901B8">
              <w:rPr>
                <w:rFonts w:eastAsia="CenturyGothic"/>
                <w:kern w:val="0"/>
                <w:vertAlign w:val="subscript"/>
              </w:rPr>
              <w:t>Deklarowana</w:t>
            </w:r>
          </w:p>
        </w:tc>
        <w:tc>
          <w:tcPr>
            <w:tcW w:w="392" w:type="pct"/>
            <w:vMerge w:val="restart"/>
            <w:vAlign w:val="center"/>
          </w:tcPr>
          <w:p w:rsidR="00A064AB" w:rsidRPr="00CE271E" w:rsidRDefault="00A064AB" w:rsidP="00917119">
            <w:pPr>
              <w:ind w:firstLine="0"/>
              <w:jc w:val="left"/>
            </w:pPr>
            <w:r w:rsidRPr="004901B8">
              <w:rPr>
                <w:rFonts w:eastAsia="CenturyGothic"/>
                <w:kern w:val="0"/>
              </w:rPr>
              <w:t>Tabl. 8</w:t>
            </w:r>
          </w:p>
        </w:tc>
      </w:tr>
      <w:tr w:rsidR="00A064AB" w:rsidRPr="00CE271E" w:rsidTr="00A064AB">
        <w:trPr>
          <w:jc w:val="center"/>
        </w:trPr>
        <w:tc>
          <w:tcPr>
            <w:tcW w:w="556" w:type="pct"/>
            <w:vMerge/>
            <w:vAlign w:val="center"/>
          </w:tcPr>
          <w:p w:rsidR="00A064AB" w:rsidRPr="00CE271E" w:rsidRDefault="00A064AB" w:rsidP="00917119">
            <w:pPr>
              <w:ind w:firstLine="0"/>
              <w:jc w:val="left"/>
            </w:pPr>
          </w:p>
        </w:tc>
        <w:tc>
          <w:tcPr>
            <w:tcW w:w="2166" w:type="pct"/>
          </w:tcPr>
          <w:p w:rsidR="00A064AB" w:rsidRPr="00CE271E" w:rsidRDefault="00A064AB" w:rsidP="00917119">
            <w:pPr>
              <w:ind w:firstLine="0"/>
              <w:jc w:val="left"/>
            </w:pPr>
            <w:r w:rsidRPr="004901B8">
              <w:rPr>
                <w:rFonts w:eastAsia="CenturyGothic"/>
                <w:kern w:val="0"/>
              </w:rPr>
              <w:t>b) w kruszywie drobnym</w:t>
            </w:r>
          </w:p>
        </w:tc>
        <w:tc>
          <w:tcPr>
            <w:tcW w:w="1886" w:type="pct"/>
            <w:tcBorders>
              <w:top w:val="single" w:sz="4" w:space="0" w:color="auto"/>
            </w:tcBorders>
            <w:vAlign w:val="center"/>
          </w:tcPr>
          <w:p w:rsidR="00A064AB" w:rsidRPr="00CE271E" w:rsidRDefault="00473871" w:rsidP="00917119">
            <w:pPr>
              <w:ind w:firstLine="0"/>
              <w:jc w:val="left"/>
            </w:pPr>
            <w:r>
              <w:rPr>
                <w:rFonts w:eastAsia="CenturyGothic"/>
                <w:kern w:val="0"/>
              </w:rPr>
              <w:t xml:space="preserve">f </w:t>
            </w:r>
            <w:r w:rsidR="00A064AB" w:rsidRPr="004901B8">
              <w:rPr>
                <w:rFonts w:eastAsia="CenturyGothic"/>
                <w:kern w:val="0"/>
                <w:vertAlign w:val="subscript"/>
              </w:rPr>
              <w:t>Deklarowana</w:t>
            </w:r>
          </w:p>
        </w:tc>
        <w:tc>
          <w:tcPr>
            <w:tcW w:w="392" w:type="pct"/>
            <w:vMerge/>
            <w:vAlign w:val="center"/>
          </w:tcPr>
          <w:p w:rsidR="00A064AB" w:rsidRPr="00CE271E" w:rsidRDefault="00A064AB" w:rsidP="00917119">
            <w:pPr>
              <w:ind w:firstLine="0"/>
              <w:jc w:val="left"/>
            </w:pPr>
          </w:p>
        </w:tc>
      </w:tr>
      <w:tr w:rsidR="00A064AB" w:rsidRPr="00CE271E" w:rsidTr="00A064AB">
        <w:trPr>
          <w:jc w:val="center"/>
        </w:trPr>
        <w:tc>
          <w:tcPr>
            <w:tcW w:w="556" w:type="pct"/>
            <w:vAlign w:val="center"/>
          </w:tcPr>
          <w:p w:rsidR="00A064AB" w:rsidRPr="00CE271E" w:rsidRDefault="00A064AB" w:rsidP="00917119">
            <w:pPr>
              <w:ind w:firstLine="0"/>
              <w:jc w:val="left"/>
            </w:pPr>
            <w:r w:rsidRPr="004901B8">
              <w:rPr>
                <w:rFonts w:eastAsia="CenturyGothic"/>
                <w:kern w:val="0"/>
              </w:rPr>
              <w:t>4.7</w:t>
            </w:r>
          </w:p>
        </w:tc>
        <w:tc>
          <w:tcPr>
            <w:tcW w:w="2166" w:type="pct"/>
            <w:vAlign w:val="center"/>
          </w:tcPr>
          <w:p w:rsidR="00A064AB" w:rsidRPr="00CE271E" w:rsidRDefault="00A064AB" w:rsidP="00917119">
            <w:pPr>
              <w:ind w:firstLine="0"/>
              <w:jc w:val="left"/>
            </w:pPr>
            <w:r w:rsidRPr="004901B8">
              <w:rPr>
                <w:rFonts w:eastAsia="CenturyGothic"/>
                <w:kern w:val="0"/>
              </w:rPr>
              <w:t>Jakość pyłów</w:t>
            </w:r>
          </w:p>
        </w:tc>
        <w:tc>
          <w:tcPr>
            <w:tcW w:w="2278" w:type="pct"/>
            <w:gridSpan w:val="2"/>
          </w:tcPr>
          <w:p w:rsidR="00A064AB" w:rsidRPr="00CE271E" w:rsidRDefault="00A064AB" w:rsidP="00917119">
            <w:pPr>
              <w:numPr>
                <w:ilvl w:val="0"/>
                <w:numId w:val="0"/>
              </w:numPr>
              <w:overflowPunct/>
              <w:jc w:val="left"/>
              <w:textAlignment w:val="auto"/>
            </w:pPr>
            <w:r w:rsidRPr="004901B8">
              <w:rPr>
                <w:rFonts w:eastAsia="CenturyGothic"/>
                <w:kern w:val="0"/>
              </w:rPr>
              <w:t xml:space="preserve">Właściwość niezbadana na pojedynczych frakcjach, a tylko w mieszankach wg wymagań </w:t>
            </w:r>
            <w:r>
              <w:rPr>
                <w:rFonts w:eastAsia="CenturyGothic"/>
                <w:kern w:val="0"/>
              </w:rPr>
              <w:t>dla poszczególnych warstw nawierzchni</w:t>
            </w:r>
          </w:p>
        </w:tc>
      </w:tr>
      <w:tr w:rsidR="00A064AB" w:rsidRPr="00CE271E" w:rsidTr="00A064AB">
        <w:trPr>
          <w:jc w:val="center"/>
        </w:trPr>
        <w:tc>
          <w:tcPr>
            <w:tcW w:w="556" w:type="pct"/>
            <w:vAlign w:val="center"/>
          </w:tcPr>
          <w:p w:rsidR="00A064AB" w:rsidRPr="00CE271E" w:rsidRDefault="00A064AB" w:rsidP="00917119">
            <w:pPr>
              <w:ind w:firstLine="0"/>
              <w:jc w:val="left"/>
            </w:pPr>
            <w:r w:rsidRPr="004901B8">
              <w:rPr>
                <w:rFonts w:eastAsia="CenturyGothic"/>
                <w:kern w:val="0"/>
              </w:rPr>
              <w:t>5.2</w:t>
            </w:r>
          </w:p>
        </w:tc>
        <w:tc>
          <w:tcPr>
            <w:tcW w:w="2166" w:type="pct"/>
          </w:tcPr>
          <w:p w:rsidR="00A064AB" w:rsidRPr="00CE271E" w:rsidRDefault="00A064AB" w:rsidP="00917119">
            <w:pPr>
              <w:numPr>
                <w:ilvl w:val="0"/>
                <w:numId w:val="0"/>
              </w:numPr>
              <w:overflowPunct/>
              <w:jc w:val="left"/>
              <w:textAlignment w:val="auto"/>
            </w:pPr>
            <w:r w:rsidRPr="004901B8">
              <w:rPr>
                <w:rFonts w:eastAsia="CenturyGothic"/>
                <w:kern w:val="0"/>
              </w:rPr>
              <w:t>Odporność na rozdrabnianie wg PN-EN 1097-2, kategoria nie wyższa niż:</w:t>
            </w:r>
          </w:p>
        </w:tc>
        <w:tc>
          <w:tcPr>
            <w:tcW w:w="1886" w:type="pct"/>
            <w:vAlign w:val="center"/>
          </w:tcPr>
          <w:p w:rsidR="00A064AB" w:rsidRPr="00056112" w:rsidRDefault="00A064AB" w:rsidP="00917119">
            <w:pPr>
              <w:ind w:firstLine="0"/>
              <w:jc w:val="left"/>
              <w:rPr>
                <w:rFonts w:eastAsia="CenturyGothic"/>
                <w:kern w:val="0"/>
              </w:rPr>
            </w:pPr>
            <w:r w:rsidRPr="00056112">
              <w:rPr>
                <w:rFonts w:eastAsia="CenturyGothic"/>
                <w:kern w:val="0"/>
              </w:rPr>
              <w:t>LA</w:t>
            </w:r>
            <w:r w:rsidR="0006182D">
              <w:rPr>
                <w:rFonts w:eastAsia="CenturyGothic"/>
                <w:kern w:val="0"/>
                <w:vertAlign w:val="subscript"/>
              </w:rPr>
              <w:t>4</w:t>
            </w:r>
            <w:r w:rsidRPr="00056112">
              <w:rPr>
                <w:rFonts w:eastAsia="CenturyGothic"/>
                <w:kern w:val="0"/>
                <w:vertAlign w:val="subscript"/>
              </w:rPr>
              <w:t>0</w:t>
            </w:r>
          </w:p>
        </w:tc>
        <w:tc>
          <w:tcPr>
            <w:tcW w:w="392" w:type="pct"/>
            <w:vAlign w:val="center"/>
          </w:tcPr>
          <w:p w:rsidR="00A064AB" w:rsidRPr="00CE271E" w:rsidRDefault="00A064AB" w:rsidP="00917119">
            <w:pPr>
              <w:ind w:firstLine="0"/>
              <w:jc w:val="left"/>
            </w:pPr>
            <w:r w:rsidRPr="004901B8">
              <w:rPr>
                <w:rFonts w:eastAsia="CenturyGothic"/>
                <w:kern w:val="0"/>
              </w:rPr>
              <w:t>Tabl. 9</w:t>
            </w:r>
          </w:p>
        </w:tc>
      </w:tr>
      <w:tr w:rsidR="00A064AB" w:rsidRPr="00CE271E" w:rsidTr="00A064AB">
        <w:trPr>
          <w:jc w:val="center"/>
        </w:trPr>
        <w:tc>
          <w:tcPr>
            <w:tcW w:w="556" w:type="pct"/>
            <w:vAlign w:val="center"/>
          </w:tcPr>
          <w:p w:rsidR="00A064AB" w:rsidRPr="00CE271E" w:rsidRDefault="00A064AB" w:rsidP="00917119">
            <w:pPr>
              <w:ind w:firstLine="0"/>
              <w:jc w:val="left"/>
            </w:pPr>
            <w:r w:rsidRPr="004901B8">
              <w:rPr>
                <w:rFonts w:eastAsia="CenturyGothic"/>
                <w:kern w:val="0"/>
              </w:rPr>
              <w:t>5.3</w:t>
            </w:r>
          </w:p>
        </w:tc>
        <w:tc>
          <w:tcPr>
            <w:tcW w:w="2166" w:type="pct"/>
          </w:tcPr>
          <w:p w:rsidR="00A064AB" w:rsidRPr="00CE271E" w:rsidRDefault="00A064AB" w:rsidP="00917119">
            <w:pPr>
              <w:numPr>
                <w:ilvl w:val="0"/>
                <w:numId w:val="0"/>
              </w:numPr>
              <w:overflowPunct/>
              <w:jc w:val="left"/>
              <w:textAlignment w:val="auto"/>
            </w:pPr>
            <w:r w:rsidRPr="004901B8">
              <w:rPr>
                <w:rFonts w:eastAsia="CenturyGothic"/>
                <w:kern w:val="0"/>
              </w:rPr>
              <w:t xml:space="preserve">Odporność na ścieranie kruszywa grubego </w:t>
            </w:r>
            <w:r w:rsidRPr="004901B8">
              <w:rPr>
                <w:rFonts w:eastAsia="CenturyGothic"/>
                <w:kern w:val="0"/>
              </w:rPr>
              <w:br/>
              <w:t>wg PN-EN 1097-l</w:t>
            </w:r>
          </w:p>
        </w:tc>
        <w:tc>
          <w:tcPr>
            <w:tcW w:w="1886" w:type="pct"/>
            <w:vAlign w:val="center"/>
          </w:tcPr>
          <w:p w:rsidR="00A064AB" w:rsidRPr="004901B8" w:rsidRDefault="00A064AB" w:rsidP="00917119">
            <w:pPr>
              <w:ind w:firstLine="0"/>
              <w:jc w:val="left"/>
              <w:rPr>
                <w:rFonts w:eastAsia="CenturyGothic"/>
                <w:kern w:val="0"/>
              </w:rPr>
            </w:pPr>
            <w:r w:rsidRPr="004901B8">
              <w:rPr>
                <w:rFonts w:eastAsia="CenturyGothic"/>
                <w:kern w:val="0"/>
              </w:rPr>
              <w:t>M</w:t>
            </w:r>
            <w:r w:rsidRPr="004901B8">
              <w:rPr>
                <w:rFonts w:eastAsia="CenturyGothic"/>
                <w:kern w:val="0"/>
                <w:vertAlign w:val="subscript"/>
              </w:rPr>
              <w:t>DE</w:t>
            </w:r>
            <w:r w:rsidRPr="004901B8">
              <w:rPr>
                <w:rFonts w:eastAsia="CenturyGothic"/>
                <w:kern w:val="0"/>
              </w:rPr>
              <w:t xml:space="preserve"> Deklarowana</w:t>
            </w:r>
          </w:p>
        </w:tc>
        <w:tc>
          <w:tcPr>
            <w:tcW w:w="392" w:type="pct"/>
            <w:vAlign w:val="center"/>
          </w:tcPr>
          <w:p w:rsidR="00A064AB" w:rsidRPr="00CE271E" w:rsidRDefault="00A064AB" w:rsidP="00917119">
            <w:pPr>
              <w:ind w:firstLine="0"/>
              <w:jc w:val="left"/>
            </w:pPr>
            <w:r w:rsidRPr="004901B8">
              <w:rPr>
                <w:rFonts w:eastAsia="CenturyGothic"/>
                <w:kern w:val="0"/>
              </w:rPr>
              <w:t>Tabl. 11</w:t>
            </w:r>
          </w:p>
        </w:tc>
      </w:tr>
      <w:tr w:rsidR="00A064AB" w:rsidRPr="00536663"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t>5.4</w:t>
            </w:r>
          </w:p>
        </w:tc>
        <w:tc>
          <w:tcPr>
            <w:tcW w:w="2166" w:type="pct"/>
          </w:tcPr>
          <w:p w:rsidR="00A064AB" w:rsidRPr="00536663" w:rsidRDefault="00A064AB" w:rsidP="00917119">
            <w:pPr>
              <w:numPr>
                <w:ilvl w:val="0"/>
                <w:numId w:val="0"/>
              </w:numPr>
              <w:overflowPunct/>
              <w:jc w:val="left"/>
              <w:textAlignment w:val="auto"/>
            </w:pPr>
            <w:r w:rsidRPr="004901B8">
              <w:rPr>
                <w:rFonts w:eastAsia="CenturyGothic"/>
                <w:kern w:val="0"/>
              </w:rPr>
              <w:t>Gęstość wg PN-EN 1097-6:2001, rozdział 7, 8 albo 9</w:t>
            </w:r>
          </w:p>
        </w:tc>
        <w:tc>
          <w:tcPr>
            <w:tcW w:w="1886" w:type="pct"/>
            <w:vAlign w:val="center"/>
          </w:tcPr>
          <w:p w:rsidR="00A064AB" w:rsidRPr="00536663" w:rsidRDefault="00A064AB" w:rsidP="00917119">
            <w:pPr>
              <w:ind w:firstLine="0"/>
              <w:jc w:val="left"/>
            </w:pPr>
            <w:r w:rsidRPr="004901B8">
              <w:rPr>
                <w:rFonts w:eastAsia="CenturyGothic"/>
                <w:kern w:val="0"/>
              </w:rPr>
              <w:t>Deklarowana</w:t>
            </w:r>
          </w:p>
        </w:tc>
        <w:tc>
          <w:tcPr>
            <w:tcW w:w="392" w:type="pct"/>
            <w:vAlign w:val="center"/>
          </w:tcPr>
          <w:p w:rsidR="00A064AB" w:rsidRPr="00536663" w:rsidRDefault="00A064AB" w:rsidP="00917119">
            <w:pPr>
              <w:ind w:firstLine="0"/>
              <w:jc w:val="left"/>
            </w:pPr>
            <w:r w:rsidRPr="00536663">
              <w:t>-</w:t>
            </w:r>
          </w:p>
        </w:tc>
      </w:tr>
      <w:tr w:rsidR="00A064AB"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t>5.5</w:t>
            </w:r>
          </w:p>
        </w:tc>
        <w:tc>
          <w:tcPr>
            <w:tcW w:w="2166" w:type="pct"/>
          </w:tcPr>
          <w:p w:rsidR="00A064AB" w:rsidRPr="00536663" w:rsidRDefault="00A064AB" w:rsidP="00917119">
            <w:pPr>
              <w:numPr>
                <w:ilvl w:val="0"/>
                <w:numId w:val="0"/>
              </w:numPr>
              <w:overflowPunct/>
              <w:jc w:val="left"/>
              <w:textAlignment w:val="auto"/>
            </w:pPr>
            <w:r w:rsidRPr="004901B8">
              <w:rPr>
                <w:rFonts w:eastAsia="CenturyGothic"/>
                <w:kern w:val="0"/>
              </w:rPr>
              <w:t>Nasiąkliwość wg PN-EN 1097-6, rozdział 7, 8 albo 9 (w zależności od frakcji)</w:t>
            </w:r>
          </w:p>
        </w:tc>
        <w:tc>
          <w:tcPr>
            <w:tcW w:w="1886" w:type="pct"/>
            <w:vAlign w:val="center"/>
          </w:tcPr>
          <w:p w:rsidR="00A064AB" w:rsidRPr="004901B8" w:rsidRDefault="00A064AB" w:rsidP="00917119">
            <w:pPr>
              <w:ind w:firstLine="0"/>
              <w:jc w:val="left"/>
              <w:rPr>
                <w:rFonts w:eastAsia="CenturyGothic"/>
                <w:kern w:val="0"/>
              </w:rPr>
            </w:pPr>
            <w:r w:rsidRPr="004901B8">
              <w:rPr>
                <w:rFonts w:eastAsia="CenturyGothic"/>
                <w:kern w:val="0"/>
              </w:rPr>
              <w:t>W</w:t>
            </w:r>
            <w:r w:rsidR="00473871">
              <w:rPr>
                <w:rFonts w:eastAsia="CenturyGothic"/>
                <w:kern w:val="0"/>
              </w:rPr>
              <w:t xml:space="preserve"> </w:t>
            </w:r>
            <w:r w:rsidRPr="004901B8">
              <w:rPr>
                <w:rFonts w:eastAsia="CenturyGothic"/>
                <w:kern w:val="0"/>
                <w:vertAlign w:val="subscript"/>
              </w:rPr>
              <w:t>cm</w:t>
            </w:r>
            <w:r w:rsidR="00473871">
              <w:rPr>
                <w:rFonts w:eastAsia="CenturyGothic"/>
                <w:kern w:val="0"/>
                <w:vertAlign w:val="subscript"/>
              </w:rPr>
              <w:t xml:space="preserve"> </w:t>
            </w:r>
            <w:r w:rsidRPr="004901B8">
              <w:rPr>
                <w:rFonts w:eastAsia="CenturyGothic"/>
                <w:kern w:val="0"/>
              </w:rPr>
              <w:t>NR</w:t>
            </w:r>
          </w:p>
          <w:p w:rsidR="00A064AB" w:rsidRPr="00536663" w:rsidRDefault="00A064AB" w:rsidP="00917119">
            <w:pPr>
              <w:ind w:firstLine="0"/>
              <w:jc w:val="left"/>
            </w:pPr>
            <w:r w:rsidRPr="004901B8">
              <w:rPr>
                <w:rFonts w:eastAsia="CenturyGothic"/>
                <w:kern w:val="0"/>
              </w:rPr>
              <w:t>WA</w:t>
            </w:r>
            <w:r w:rsidRPr="004901B8">
              <w:rPr>
                <w:rFonts w:eastAsia="CenturyGothic"/>
                <w:kern w:val="0"/>
                <w:vertAlign w:val="subscript"/>
              </w:rPr>
              <w:t>24</w:t>
            </w:r>
            <w:r w:rsidRPr="004901B8">
              <w:rPr>
                <w:rFonts w:eastAsia="CenturyGothic"/>
                <w:kern w:val="0"/>
              </w:rPr>
              <w:t>2</w:t>
            </w:r>
            <w:r w:rsidRPr="000113DB">
              <w:rPr>
                <w:rFonts w:eastAsia="CenturyGothic"/>
                <w:kern w:val="0"/>
                <w:vertAlign w:val="superscript"/>
              </w:rPr>
              <w:t>**)</w:t>
            </w:r>
          </w:p>
        </w:tc>
        <w:tc>
          <w:tcPr>
            <w:tcW w:w="392" w:type="pct"/>
            <w:vAlign w:val="center"/>
          </w:tcPr>
          <w:p w:rsidR="00A064AB" w:rsidRPr="00536663" w:rsidRDefault="00A064AB" w:rsidP="00917119">
            <w:pPr>
              <w:ind w:firstLine="0"/>
              <w:jc w:val="left"/>
            </w:pPr>
            <w:r w:rsidRPr="00536663">
              <w:t>-</w:t>
            </w:r>
          </w:p>
        </w:tc>
      </w:tr>
      <w:tr w:rsidR="00A064AB" w:rsidRPr="00536663"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lastRenderedPageBreak/>
              <w:t>6.2</w:t>
            </w:r>
          </w:p>
        </w:tc>
        <w:tc>
          <w:tcPr>
            <w:tcW w:w="2166" w:type="pct"/>
          </w:tcPr>
          <w:p w:rsidR="00A064AB" w:rsidRPr="00536663" w:rsidRDefault="00A064AB" w:rsidP="00917119">
            <w:pPr>
              <w:numPr>
                <w:ilvl w:val="0"/>
                <w:numId w:val="0"/>
              </w:numPr>
              <w:overflowPunct/>
              <w:jc w:val="left"/>
              <w:textAlignment w:val="auto"/>
            </w:pPr>
            <w:r w:rsidRPr="004901B8">
              <w:rPr>
                <w:rFonts w:eastAsia="CenturyGothic"/>
                <w:kern w:val="0"/>
              </w:rPr>
              <w:t xml:space="preserve">Siarczany rozpuszczalne w kwasie </w:t>
            </w:r>
            <w:r>
              <w:rPr>
                <w:rFonts w:eastAsia="CenturyGothic"/>
                <w:kern w:val="0"/>
              </w:rPr>
              <w:br/>
            </w:r>
            <w:r w:rsidRPr="004901B8">
              <w:rPr>
                <w:rFonts w:eastAsia="CenturyGothic"/>
                <w:kern w:val="0"/>
              </w:rPr>
              <w:t>wg PN-EN 1744-l</w:t>
            </w:r>
          </w:p>
        </w:tc>
        <w:tc>
          <w:tcPr>
            <w:tcW w:w="1886" w:type="pct"/>
            <w:vAlign w:val="center"/>
          </w:tcPr>
          <w:p w:rsidR="00A064AB" w:rsidRPr="004901B8" w:rsidRDefault="00A064AB" w:rsidP="00917119">
            <w:pPr>
              <w:ind w:firstLine="0"/>
              <w:jc w:val="left"/>
              <w:rPr>
                <w:rFonts w:eastAsia="CenturyGothic"/>
                <w:kern w:val="0"/>
              </w:rPr>
            </w:pPr>
            <w:r w:rsidRPr="004901B8">
              <w:rPr>
                <w:rFonts w:eastAsia="CenturyGothic"/>
                <w:kern w:val="0"/>
              </w:rPr>
              <w:t>AS</w:t>
            </w:r>
            <w:r w:rsidRPr="004901B8">
              <w:rPr>
                <w:rFonts w:eastAsia="CenturyGothic"/>
                <w:kern w:val="0"/>
                <w:vertAlign w:val="subscript"/>
              </w:rPr>
              <w:t>NR</w:t>
            </w:r>
          </w:p>
        </w:tc>
        <w:tc>
          <w:tcPr>
            <w:tcW w:w="392" w:type="pct"/>
            <w:vAlign w:val="center"/>
          </w:tcPr>
          <w:p w:rsidR="00A064AB" w:rsidRPr="00536663" w:rsidRDefault="00A064AB" w:rsidP="00917119">
            <w:pPr>
              <w:ind w:firstLine="0"/>
              <w:jc w:val="left"/>
            </w:pPr>
            <w:r w:rsidRPr="004901B8">
              <w:rPr>
                <w:rFonts w:eastAsia="CenturyGothic"/>
                <w:kern w:val="0"/>
              </w:rPr>
              <w:t>Tabl. 12</w:t>
            </w:r>
          </w:p>
        </w:tc>
      </w:tr>
      <w:tr w:rsidR="00A064AB" w:rsidRPr="00536663"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t>6.3</w:t>
            </w:r>
          </w:p>
        </w:tc>
        <w:tc>
          <w:tcPr>
            <w:tcW w:w="2166" w:type="pct"/>
          </w:tcPr>
          <w:p w:rsidR="00A064AB" w:rsidRPr="00536663" w:rsidRDefault="00A064AB" w:rsidP="00917119">
            <w:pPr>
              <w:ind w:firstLine="0"/>
              <w:jc w:val="left"/>
            </w:pPr>
            <w:r w:rsidRPr="004901B8">
              <w:rPr>
                <w:rFonts w:eastAsia="CenturyGothic"/>
                <w:kern w:val="0"/>
              </w:rPr>
              <w:t xml:space="preserve">Całkowita zawartość siarki </w:t>
            </w:r>
            <w:r>
              <w:rPr>
                <w:rFonts w:eastAsia="CenturyGothic"/>
                <w:kern w:val="0"/>
              </w:rPr>
              <w:br/>
            </w:r>
            <w:r w:rsidRPr="004901B8">
              <w:rPr>
                <w:rFonts w:eastAsia="CenturyGothic"/>
                <w:kern w:val="0"/>
              </w:rPr>
              <w:t>wg PN-EN 1744-1</w:t>
            </w:r>
          </w:p>
        </w:tc>
        <w:tc>
          <w:tcPr>
            <w:tcW w:w="1886" w:type="pct"/>
            <w:vAlign w:val="center"/>
          </w:tcPr>
          <w:p w:rsidR="00A064AB" w:rsidRPr="004901B8" w:rsidRDefault="00A064AB" w:rsidP="00917119">
            <w:pPr>
              <w:ind w:firstLine="0"/>
              <w:jc w:val="left"/>
              <w:rPr>
                <w:rFonts w:eastAsia="CenturyGothic"/>
                <w:kern w:val="0"/>
              </w:rPr>
            </w:pPr>
            <w:r w:rsidRPr="004901B8">
              <w:rPr>
                <w:rFonts w:eastAsia="CenturyGothic"/>
                <w:kern w:val="0"/>
              </w:rPr>
              <w:t>S</w:t>
            </w:r>
            <w:r w:rsidRPr="004901B8">
              <w:rPr>
                <w:rFonts w:eastAsia="CenturyGothic"/>
                <w:kern w:val="0"/>
                <w:vertAlign w:val="subscript"/>
              </w:rPr>
              <w:t>NR</w:t>
            </w:r>
          </w:p>
        </w:tc>
        <w:tc>
          <w:tcPr>
            <w:tcW w:w="392" w:type="pct"/>
            <w:vAlign w:val="center"/>
          </w:tcPr>
          <w:p w:rsidR="00A064AB" w:rsidRPr="00536663" w:rsidRDefault="00A064AB" w:rsidP="00917119">
            <w:pPr>
              <w:ind w:firstLine="0"/>
              <w:jc w:val="left"/>
            </w:pPr>
            <w:r w:rsidRPr="004901B8">
              <w:rPr>
                <w:rFonts w:eastAsia="CenturyGothic"/>
                <w:kern w:val="0"/>
              </w:rPr>
              <w:t>Tabl. 13</w:t>
            </w:r>
          </w:p>
        </w:tc>
      </w:tr>
      <w:tr w:rsidR="00A064AB" w:rsidRPr="00536663"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t>6.4.2.1</w:t>
            </w:r>
          </w:p>
        </w:tc>
        <w:tc>
          <w:tcPr>
            <w:tcW w:w="2166" w:type="pct"/>
          </w:tcPr>
          <w:p w:rsidR="00A064AB" w:rsidRPr="00536663" w:rsidRDefault="00A064AB" w:rsidP="00917119">
            <w:pPr>
              <w:numPr>
                <w:ilvl w:val="0"/>
                <w:numId w:val="0"/>
              </w:numPr>
              <w:overflowPunct/>
              <w:jc w:val="left"/>
              <w:textAlignment w:val="auto"/>
            </w:pPr>
            <w:r w:rsidRPr="004901B8">
              <w:rPr>
                <w:rFonts w:eastAsia="CenturyGothic"/>
                <w:kern w:val="0"/>
              </w:rPr>
              <w:t xml:space="preserve">Stałość objętości żużla stalowniczego </w:t>
            </w:r>
            <w:r>
              <w:rPr>
                <w:rFonts w:eastAsia="CenturyGothic"/>
                <w:kern w:val="0"/>
              </w:rPr>
              <w:br/>
            </w:r>
            <w:r w:rsidRPr="004901B8">
              <w:rPr>
                <w:rFonts w:eastAsia="CenturyGothic"/>
                <w:kern w:val="0"/>
              </w:rPr>
              <w:t>wg PN-EN 1744-1. rozdział 19.3</w:t>
            </w:r>
          </w:p>
        </w:tc>
        <w:tc>
          <w:tcPr>
            <w:tcW w:w="1886" w:type="pct"/>
            <w:vAlign w:val="center"/>
          </w:tcPr>
          <w:p w:rsidR="00A064AB" w:rsidRPr="004901B8" w:rsidRDefault="00A064AB" w:rsidP="00917119">
            <w:pPr>
              <w:ind w:firstLine="0"/>
              <w:jc w:val="left"/>
              <w:rPr>
                <w:rFonts w:eastAsia="CenturyGothic"/>
                <w:kern w:val="0"/>
              </w:rPr>
            </w:pPr>
            <w:r w:rsidRPr="004901B8">
              <w:rPr>
                <w:rFonts w:eastAsia="CenturyGothic"/>
                <w:kern w:val="0"/>
              </w:rPr>
              <w:t>V</w:t>
            </w:r>
            <w:r w:rsidRPr="004901B8">
              <w:rPr>
                <w:rFonts w:eastAsia="CenturyGothic"/>
                <w:kern w:val="0"/>
                <w:vertAlign w:val="subscript"/>
              </w:rPr>
              <w:t>5</w:t>
            </w:r>
          </w:p>
        </w:tc>
        <w:tc>
          <w:tcPr>
            <w:tcW w:w="392" w:type="pct"/>
            <w:vAlign w:val="center"/>
          </w:tcPr>
          <w:p w:rsidR="00A064AB" w:rsidRPr="00536663" w:rsidRDefault="00A064AB" w:rsidP="00917119">
            <w:pPr>
              <w:ind w:firstLine="0"/>
              <w:jc w:val="left"/>
            </w:pPr>
            <w:r w:rsidRPr="004901B8">
              <w:rPr>
                <w:rFonts w:eastAsia="CenturyGothic"/>
                <w:kern w:val="0"/>
              </w:rPr>
              <w:t>Tabl. 14</w:t>
            </w:r>
          </w:p>
        </w:tc>
      </w:tr>
      <w:tr w:rsidR="00A064AB" w:rsidRPr="00536663"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t>6.4.2.2</w:t>
            </w:r>
          </w:p>
        </w:tc>
        <w:tc>
          <w:tcPr>
            <w:tcW w:w="2166" w:type="pct"/>
          </w:tcPr>
          <w:p w:rsidR="00A064AB" w:rsidRPr="00536663" w:rsidRDefault="00A064AB" w:rsidP="00917119">
            <w:pPr>
              <w:numPr>
                <w:ilvl w:val="0"/>
                <w:numId w:val="0"/>
              </w:numPr>
              <w:overflowPunct/>
              <w:jc w:val="left"/>
              <w:textAlignment w:val="auto"/>
            </w:pPr>
            <w:r w:rsidRPr="004901B8">
              <w:rPr>
                <w:rFonts w:eastAsia="CenturyGothic"/>
                <w:kern w:val="0"/>
              </w:rPr>
              <w:t xml:space="preserve">Rozpad krzemianowy w żużlu wielkopiecowym kawałkowym </w:t>
            </w:r>
            <w:r>
              <w:rPr>
                <w:rFonts w:eastAsia="CenturyGothic"/>
                <w:kern w:val="0"/>
              </w:rPr>
              <w:br/>
            </w:r>
            <w:r w:rsidRPr="004901B8">
              <w:rPr>
                <w:rFonts w:eastAsia="CenturyGothic"/>
                <w:kern w:val="0"/>
              </w:rPr>
              <w:t>wg PN-EN 1744-1, p.19.l</w:t>
            </w:r>
          </w:p>
        </w:tc>
        <w:tc>
          <w:tcPr>
            <w:tcW w:w="1886" w:type="pct"/>
            <w:vAlign w:val="center"/>
          </w:tcPr>
          <w:p w:rsidR="00A064AB" w:rsidRPr="00536663" w:rsidRDefault="00A064AB" w:rsidP="00917119">
            <w:pPr>
              <w:ind w:firstLine="0"/>
              <w:jc w:val="left"/>
            </w:pPr>
            <w:r w:rsidRPr="004901B8">
              <w:rPr>
                <w:rFonts w:eastAsia="CenturyGothic"/>
                <w:kern w:val="0"/>
              </w:rPr>
              <w:t>Brak rozpadu</w:t>
            </w:r>
          </w:p>
        </w:tc>
        <w:tc>
          <w:tcPr>
            <w:tcW w:w="392" w:type="pct"/>
            <w:vAlign w:val="center"/>
          </w:tcPr>
          <w:p w:rsidR="00A064AB" w:rsidRPr="00536663" w:rsidRDefault="00A064AB" w:rsidP="00917119">
            <w:pPr>
              <w:ind w:firstLine="0"/>
              <w:jc w:val="left"/>
            </w:pPr>
            <w:r w:rsidRPr="00536663">
              <w:t>-</w:t>
            </w:r>
          </w:p>
        </w:tc>
      </w:tr>
      <w:tr w:rsidR="00A064AB"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t>6.4.2.3</w:t>
            </w:r>
          </w:p>
        </w:tc>
        <w:tc>
          <w:tcPr>
            <w:tcW w:w="2166" w:type="pct"/>
          </w:tcPr>
          <w:p w:rsidR="00A064AB" w:rsidRPr="00536663" w:rsidRDefault="00A064AB" w:rsidP="00917119">
            <w:pPr>
              <w:numPr>
                <w:ilvl w:val="0"/>
                <w:numId w:val="0"/>
              </w:numPr>
              <w:overflowPunct/>
              <w:jc w:val="left"/>
              <w:textAlignment w:val="auto"/>
            </w:pPr>
            <w:r w:rsidRPr="004901B8">
              <w:rPr>
                <w:rFonts w:eastAsia="CenturyGothic"/>
                <w:kern w:val="0"/>
              </w:rPr>
              <w:t>Rozpad żelazawy w żużlu wielkopiecowym kawałkowym wg PN-EN 1744-1, p.19.2</w:t>
            </w:r>
          </w:p>
        </w:tc>
        <w:tc>
          <w:tcPr>
            <w:tcW w:w="1886" w:type="pct"/>
            <w:vAlign w:val="center"/>
          </w:tcPr>
          <w:p w:rsidR="00A064AB" w:rsidRPr="00536663" w:rsidRDefault="00A064AB" w:rsidP="00917119">
            <w:pPr>
              <w:ind w:firstLine="0"/>
              <w:jc w:val="left"/>
            </w:pPr>
            <w:r w:rsidRPr="004901B8">
              <w:rPr>
                <w:rFonts w:eastAsia="CenturyGothic"/>
                <w:kern w:val="0"/>
              </w:rPr>
              <w:t>Brak rozpadu</w:t>
            </w:r>
          </w:p>
        </w:tc>
        <w:tc>
          <w:tcPr>
            <w:tcW w:w="392" w:type="pct"/>
            <w:vAlign w:val="center"/>
          </w:tcPr>
          <w:p w:rsidR="00A064AB" w:rsidRPr="00536663" w:rsidRDefault="00A064AB" w:rsidP="00917119">
            <w:pPr>
              <w:ind w:firstLine="0"/>
              <w:jc w:val="left"/>
            </w:pPr>
            <w:r w:rsidRPr="00536663">
              <w:t>-</w:t>
            </w:r>
          </w:p>
        </w:tc>
      </w:tr>
      <w:tr w:rsidR="00A064AB" w:rsidRPr="00536663" w:rsidTr="00A064AB">
        <w:trPr>
          <w:jc w:val="center"/>
        </w:trPr>
        <w:tc>
          <w:tcPr>
            <w:tcW w:w="556" w:type="pct"/>
            <w:vAlign w:val="center"/>
          </w:tcPr>
          <w:p w:rsidR="00A064AB" w:rsidRPr="00536663" w:rsidRDefault="00A064AB" w:rsidP="00917119">
            <w:pPr>
              <w:ind w:firstLine="0"/>
              <w:jc w:val="left"/>
            </w:pPr>
            <w:r w:rsidRPr="004901B8">
              <w:rPr>
                <w:rFonts w:eastAsia="CenturyGothic"/>
                <w:kern w:val="0"/>
              </w:rPr>
              <w:t>6.4.3</w:t>
            </w:r>
          </w:p>
        </w:tc>
        <w:tc>
          <w:tcPr>
            <w:tcW w:w="2166" w:type="pct"/>
          </w:tcPr>
          <w:p w:rsidR="00A064AB" w:rsidRPr="00536663" w:rsidRDefault="00A064AB" w:rsidP="00917119">
            <w:pPr>
              <w:numPr>
                <w:ilvl w:val="0"/>
                <w:numId w:val="0"/>
              </w:numPr>
              <w:overflowPunct/>
              <w:jc w:val="left"/>
              <w:textAlignment w:val="auto"/>
            </w:pPr>
            <w:r w:rsidRPr="004901B8">
              <w:rPr>
                <w:rFonts w:eastAsia="CenturyGothic"/>
                <w:kern w:val="0"/>
              </w:rPr>
              <w:t xml:space="preserve">Składniki rozpuszczalne w wodzie </w:t>
            </w:r>
            <w:r>
              <w:rPr>
                <w:rFonts w:eastAsia="CenturyGothic"/>
                <w:kern w:val="0"/>
              </w:rPr>
              <w:br/>
            </w:r>
            <w:r w:rsidRPr="004901B8">
              <w:rPr>
                <w:rFonts w:eastAsia="CenturyGothic"/>
                <w:kern w:val="0"/>
              </w:rPr>
              <w:t>wg PN-EN 1744-3</w:t>
            </w:r>
          </w:p>
        </w:tc>
        <w:tc>
          <w:tcPr>
            <w:tcW w:w="2278" w:type="pct"/>
            <w:gridSpan w:val="2"/>
          </w:tcPr>
          <w:p w:rsidR="00A064AB" w:rsidRPr="00536663" w:rsidRDefault="00A064AB" w:rsidP="00917119">
            <w:pPr>
              <w:numPr>
                <w:ilvl w:val="0"/>
                <w:numId w:val="0"/>
              </w:numPr>
              <w:overflowPunct/>
              <w:jc w:val="left"/>
              <w:textAlignment w:val="auto"/>
            </w:pPr>
            <w:r w:rsidRPr="004901B8">
              <w:rPr>
                <w:rFonts w:eastAsia="CenturyGothic"/>
                <w:kern w:val="0"/>
              </w:rPr>
              <w:t>Brak substancji szkodliwych w stosunku do środowiska wg odrębnych przepisów</w:t>
            </w:r>
          </w:p>
        </w:tc>
      </w:tr>
      <w:tr w:rsidR="00A064AB" w:rsidRPr="00F31C14" w:rsidTr="00A064AB">
        <w:trPr>
          <w:trHeight w:val="580"/>
          <w:jc w:val="center"/>
        </w:trPr>
        <w:tc>
          <w:tcPr>
            <w:tcW w:w="556" w:type="pct"/>
            <w:vAlign w:val="center"/>
          </w:tcPr>
          <w:p w:rsidR="00A064AB" w:rsidRPr="00F31C14" w:rsidRDefault="00A064AB" w:rsidP="00917119">
            <w:pPr>
              <w:ind w:firstLine="0"/>
              <w:jc w:val="left"/>
            </w:pPr>
            <w:r w:rsidRPr="004901B8">
              <w:rPr>
                <w:rFonts w:eastAsia="CenturyGothic"/>
                <w:kern w:val="0"/>
              </w:rPr>
              <w:t>6.4.4</w:t>
            </w:r>
          </w:p>
        </w:tc>
        <w:tc>
          <w:tcPr>
            <w:tcW w:w="2166" w:type="pct"/>
            <w:vAlign w:val="center"/>
          </w:tcPr>
          <w:p w:rsidR="00A064AB" w:rsidRPr="00F31C14" w:rsidRDefault="00A064AB" w:rsidP="00917119">
            <w:pPr>
              <w:ind w:firstLine="0"/>
              <w:jc w:val="left"/>
            </w:pPr>
            <w:r w:rsidRPr="004901B8">
              <w:rPr>
                <w:rFonts w:eastAsia="CenturyGothic"/>
                <w:kern w:val="0"/>
              </w:rPr>
              <w:t>Zanieczyszczenia</w:t>
            </w:r>
          </w:p>
        </w:tc>
        <w:tc>
          <w:tcPr>
            <w:tcW w:w="2278" w:type="pct"/>
            <w:gridSpan w:val="2"/>
          </w:tcPr>
          <w:p w:rsidR="00A064AB" w:rsidRPr="00F31C14" w:rsidRDefault="00A064AB" w:rsidP="00917119">
            <w:pPr>
              <w:numPr>
                <w:ilvl w:val="0"/>
                <w:numId w:val="0"/>
              </w:numPr>
              <w:overflowPunct/>
              <w:jc w:val="left"/>
              <w:textAlignment w:val="auto"/>
            </w:pPr>
            <w:r w:rsidRPr="004901B8">
              <w:rPr>
                <w:rFonts w:eastAsia="CenturyGothic"/>
                <w:kern w:val="0"/>
              </w:rPr>
              <w:t>Brak żadnych ciał obcych takich jak drewno, szkło i plastik, mogących pogorszyć wyrób końcowy</w:t>
            </w:r>
          </w:p>
        </w:tc>
      </w:tr>
      <w:tr w:rsidR="00A064AB" w:rsidTr="00A064AB">
        <w:trPr>
          <w:jc w:val="center"/>
        </w:trPr>
        <w:tc>
          <w:tcPr>
            <w:tcW w:w="556" w:type="pct"/>
            <w:vAlign w:val="center"/>
          </w:tcPr>
          <w:p w:rsidR="00A064AB" w:rsidRPr="00F31C14" w:rsidRDefault="00A064AB" w:rsidP="00917119">
            <w:pPr>
              <w:ind w:firstLine="0"/>
              <w:jc w:val="left"/>
            </w:pPr>
            <w:r w:rsidRPr="004901B8">
              <w:rPr>
                <w:rFonts w:eastAsia="CenturyGothic"/>
                <w:kern w:val="0"/>
              </w:rPr>
              <w:t>7.2</w:t>
            </w:r>
          </w:p>
        </w:tc>
        <w:tc>
          <w:tcPr>
            <w:tcW w:w="2166" w:type="pct"/>
          </w:tcPr>
          <w:p w:rsidR="00A064AB" w:rsidRPr="00F31C14" w:rsidRDefault="00A064AB" w:rsidP="00917119">
            <w:pPr>
              <w:ind w:firstLine="0"/>
              <w:jc w:val="left"/>
            </w:pPr>
            <w:r w:rsidRPr="004901B8">
              <w:rPr>
                <w:rFonts w:eastAsia="CenturyGothic"/>
                <w:kern w:val="0"/>
              </w:rPr>
              <w:t xml:space="preserve">Zgorzel słoneczna bazaltu </w:t>
            </w:r>
            <w:r>
              <w:rPr>
                <w:rFonts w:eastAsia="CenturyGothic"/>
                <w:kern w:val="0"/>
              </w:rPr>
              <w:br/>
            </w:r>
            <w:r w:rsidRPr="004901B8">
              <w:rPr>
                <w:rFonts w:eastAsia="CenturyGothic"/>
                <w:kern w:val="0"/>
              </w:rPr>
              <w:t>wg PN-EN 1367-3,wg PN-EN 1097-2</w:t>
            </w:r>
          </w:p>
        </w:tc>
        <w:tc>
          <w:tcPr>
            <w:tcW w:w="1886" w:type="pct"/>
            <w:vAlign w:val="center"/>
          </w:tcPr>
          <w:p w:rsidR="00A064AB" w:rsidRDefault="00A064AB" w:rsidP="00917119">
            <w:pPr>
              <w:ind w:firstLine="0"/>
              <w:jc w:val="left"/>
            </w:pPr>
            <w:r w:rsidRPr="004901B8">
              <w:rPr>
                <w:rFonts w:eastAsia="CenturyGothic"/>
                <w:kern w:val="0"/>
              </w:rPr>
              <w:t>SB</w:t>
            </w:r>
            <w:r w:rsidRPr="004901B8">
              <w:rPr>
                <w:rFonts w:eastAsia="CenturyGothic"/>
                <w:kern w:val="0"/>
                <w:vertAlign w:val="subscript"/>
              </w:rPr>
              <w:t>LA</w:t>
            </w:r>
          </w:p>
        </w:tc>
        <w:tc>
          <w:tcPr>
            <w:tcW w:w="392" w:type="pct"/>
            <w:vAlign w:val="center"/>
          </w:tcPr>
          <w:p w:rsidR="00A064AB" w:rsidRPr="0096660F" w:rsidRDefault="00A064AB" w:rsidP="00917119">
            <w:pPr>
              <w:ind w:firstLine="0"/>
              <w:jc w:val="left"/>
            </w:pPr>
            <w:r>
              <w:t>-</w:t>
            </w:r>
          </w:p>
        </w:tc>
      </w:tr>
      <w:tr w:rsidR="00A064AB" w:rsidRPr="00F31C14" w:rsidTr="00A064AB">
        <w:trPr>
          <w:jc w:val="center"/>
        </w:trPr>
        <w:tc>
          <w:tcPr>
            <w:tcW w:w="556" w:type="pct"/>
            <w:vAlign w:val="center"/>
          </w:tcPr>
          <w:p w:rsidR="00A064AB" w:rsidRPr="00F31C14" w:rsidRDefault="00A064AB" w:rsidP="00917119">
            <w:pPr>
              <w:ind w:firstLine="0"/>
              <w:jc w:val="left"/>
            </w:pPr>
            <w:r w:rsidRPr="004901B8">
              <w:rPr>
                <w:rFonts w:eastAsia="CenturyGothic"/>
                <w:kern w:val="0"/>
              </w:rPr>
              <w:t>7.3.3</w:t>
            </w:r>
          </w:p>
        </w:tc>
        <w:tc>
          <w:tcPr>
            <w:tcW w:w="2166" w:type="pct"/>
            <w:vAlign w:val="center"/>
          </w:tcPr>
          <w:p w:rsidR="00A064AB" w:rsidRPr="00F31C14" w:rsidRDefault="00A064AB" w:rsidP="00917119">
            <w:pPr>
              <w:numPr>
                <w:ilvl w:val="0"/>
                <w:numId w:val="0"/>
              </w:numPr>
              <w:overflowPunct/>
              <w:jc w:val="left"/>
              <w:textAlignment w:val="auto"/>
            </w:pPr>
            <w:r w:rsidRPr="004901B8">
              <w:rPr>
                <w:rFonts w:eastAsia="CenturyGothic"/>
                <w:kern w:val="0"/>
              </w:rPr>
              <w:t xml:space="preserve">Mrozoodporność na frakcji kruszywa </w:t>
            </w:r>
            <w:r>
              <w:rPr>
                <w:rFonts w:eastAsia="CenturyGothic"/>
                <w:kern w:val="0"/>
              </w:rPr>
              <w:t>8/16</w:t>
            </w:r>
            <w:r w:rsidRPr="004901B8">
              <w:rPr>
                <w:rFonts w:eastAsia="CenturyGothic"/>
                <w:kern w:val="0"/>
              </w:rPr>
              <w:t xml:space="preserve"> wg</w:t>
            </w:r>
            <w:r>
              <w:rPr>
                <w:rFonts w:eastAsia="CenturyGothic"/>
                <w:kern w:val="0"/>
              </w:rPr>
              <w:t xml:space="preserve"> </w:t>
            </w:r>
            <w:r w:rsidRPr="004901B8">
              <w:rPr>
                <w:rFonts w:eastAsia="CenturyGothic"/>
                <w:kern w:val="0"/>
              </w:rPr>
              <w:t>PN-EN 1367-1</w:t>
            </w:r>
          </w:p>
        </w:tc>
        <w:tc>
          <w:tcPr>
            <w:tcW w:w="1886" w:type="pct"/>
            <w:vAlign w:val="center"/>
          </w:tcPr>
          <w:p w:rsidR="00A064AB" w:rsidRPr="00056112" w:rsidRDefault="00A064AB" w:rsidP="00917119">
            <w:pPr>
              <w:ind w:firstLine="0"/>
              <w:jc w:val="left"/>
              <w:rPr>
                <w:rFonts w:eastAsia="CenturyGothic"/>
                <w:kern w:val="0"/>
              </w:rPr>
            </w:pPr>
            <w:r w:rsidRPr="00056112">
              <w:rPr>
                <w:rFonts w:eastAsia="CenturyGothic"/>
                <w:kern w:val="0"/>
              </w:rPr>
              <w:t>Dla kruszyw z recyklingu F10 (F25***),</w:t>
            </w:r>
          </w:p>
          <w:p w:rsidR="00A064AB" w:rsidRPr="00056112" w:rsidRDefault="00A064AB" w:rsidP="00917119">
            <w:pPr>
              <w:ind w:firstLine="0"/>
              <w:jc w:val="left"/>
              <w:rPr>
                <w:rFonts w:eastAsia="CenturyGothic"/>
                <w:kern w:val="0"/>
              </w:rPr>
            </w:pPr>
            <w:r w:rsidRPr="00056112">
              <w:rPr>
                <w:rFonts w:eastAsia="CenturyGothic"/>
                <w:kern w:val="0"/>
              </w:rPr>
              <w:t>dla kruszyw magmowych i przeobrażonych F4</w:t>
            </w:r>
          </w:p>
        </w:tc>
        <w:tc>
          <w:tcPr>
            <w:tcW w:w="392" w:type="pct"/>
            <w:vAlign w:val="center"/>
          </w:tcPr>
          <w:p w:rsidR="00A064AB" w:rsidRPr="00F31C14" w:rsidRDefault="00A064AB" w:rsidP="00917119">
            <w:pPr>
              <w:ind w:firstLine="0"/>
              <w:jc w:val="left"/>
            </w:pPr>
            <w:r w:rsidRPr="004901B8">
              <w:rPr>
                <w:rFonts w:eastAsia="CenturyGothic"/>
                <w:kern w:val="0"/>
              </w:rPr>
              <w:t>Tabl. 18</w:t>
            </w:r>
          </w:p>
        </w:tc>
      </w:tr>
      <w:tr w:rsidR="00A064AB" w:rsidRPr="00AD2971" w:rsidTr="00A064AB">
        <w:trPr>
          <w:jc w:val="center"/>
        </w:trPr>
        <w:tc>
          <w:tcPr>
            <w:tcW w:w="556" w:type="pct"/>
            <w:vAlign w:val="center"/>
          </w:tcPr>
          <w:p w:rsidR="00A064AB" w:rsidRPr="00AD2971" w:rsidRDefault="00A064AB" w:rsidP="00917119">
            <w:pPr>
              <w:ind w:firstLine="0"/>
              <w:jc w:val="left"/>
            </w:pPr>
            <w:r w:rsidRPr="004901B8">
              <w:rPr>
                <w:rFonts w:eastAsia="CenturyGothic"/>
                <w:kern w:val="0"/>
              </w:rPr>
              <w:t>Załącznik C</w:t>
            </w:r>
          </w:p>
        </w:tc>
        <w:tc>
          <w:tcPr>
            <w:tcW w:w="2166" w:type="pct"/>
            <w:vAlign w:val="center"/>
          </w:tcPr>
          <w:p w:rsidR="00A064AB" w:rsidRPr="00AD2971" w:rsidRDefault="00A064AB" w:rsidP="00917119">
            <w:pPr>
              <w:ind w:firstLine="0"/>
              <w:jc w:val="left"/>
            </w:pPr>
            <w:r w:rsidRPr="004901B8">
              <w:rPr>
                <w:rFonts w:eastAsia="CenturyGothic"/>
                <w:kern w:val="0"/>
              </w:rPr>
              <w:t>Skład materiałowy</w:t>
            </w:r>
          </w:p>
        </w:tc>
        <w:tc>
          <w:tcPr>
            <w:tcW w:w="1886" w:type="pct"/>
            <w:vAlign w:val="center"/>
          </w:tcPr>
          <w:p w:rsidR="00A064AB" w:rsidRPr="00AD2971" w:rsidRDefault="00A064AB" w:rsidP="00917119">
            <w:pPr>
              <w:ind w:firstLine="0"/>
              <w:jc w:val="left"/>
            </w:pPr>
            <w:r w:rsidRPr="004901B8">
              <w:rPr>
                <w:rFonts w:eastAsia="CenturyGothic"/>
                <w:kern w:val="0"/>
              </w:rPr>
              <w:t>deklarowany</w:t>
            </w:r>
          </w:p>
        </w:tc>
        <w:tc>
          <w:tcPr>
            <w:tcW w:w="392" w:type="pct"/>
            <w:vAlign w:val="center"/>
          </w:tcPr>
          <w:p w:rsidR="00A064AB" w:rsidRPr="00AD2971" w:rsidRDefault="00A064AB" w:rsidP="00917119">
            <w:pPr>
              <w:ind w:firstLine="0"/>
              <w:jc w:val="left"/>
            </w:pPr>
          </w:p>
        </w:tc>
      </w:tr>
      <w:tr w:rsidR="00A064AB" w:rsidRPr="00AD2971" w:rsidTr="00A064AB">
        <w:trPr>
          <w:jc w:val="center"/>
        </w:trPr>
        <w:tc>
          <w:tcPr>
            <w:tcW w:w="556" w:type="pct"/>
            <w:vAlign w:val="center"/>
          </w:tcPr>
          <w:p w:rsidR="00A064AB" w:rsidRPr="00AD2971" w:rsidRDefault="00A064AB" w:rsidP="00917119">
            <w:pPr>
              <w:numPr>
                <w:ilvl w:val="0"/>
                <w:numId w:val="0"/>
              </w:numPr>
              <w:overflowPunct/>
              <w:jc w:val="left"/>
              <w:textAlignment w:val="auto"/>
            </w:pPr>
            <w:r>
              <w:br w:type="page"/>
            </w:r>
            <w:r w:rsidRPr="004901B8">
              <w:rPr>
                <w:rFonts w:eastAsia="CenturyGothic"/>
                <w:kern w:val="0"/>
              </w:rPr>
              <w:t>Załącznik C, pod-rozdział C.3.4</w:t>
            </w:r>
          </w:p>
        </w:tc>
        <w:tc>
          <w:tcPr>
            <w:tcW w:w="2166" w:type="pct"/>
            <w:vAlign w:val="center"/>
          </w:tcPr>
          <w:p w:rsidR="00A064AB" w:rsidRPr="00AD2971" w:rsidRDefault="00A064AB" w:rsidP="00917119">
            <w:pPr>
              <w:ind w:firstLine="0"/>
              <w:jc w:val="left"/>
            </w:pPr>
            <w:r w:rsidRPr="004901B8">
              <w:rPr>
                <w:rFonts w:eastAsia="CenturyGothic"/>
                <w:kern w:val="0"/>
              </w:rPr>
              <w:t>Istotne cechy środowiskowe</w:t>
            </w:r>
          </w:p>
        </w:tc>
        <w:tc>
          <w:tcPr>
            <w:tcW w:w="2278" w:type="pct"/>
            <w:gridSpan w:val="2"/>
          </w:tcPr>
          <w:p w:rsidR="00A064AB" w:rsidRPr="00AD2971" w:rsidRDefault="00A064AB" w:rsidP="00917119">
            <w:pPr>
              <w:numPr>
                <w:ilvl w:val="0"/>
                <w:numId w:val="0"/>
              </w:numPr>
              <w:overflowPunct/>
              <w:jc w:val="left"/>
              <w:textAlignment w:val="auto"/>
            </w:pPr>
            <w:r w:rsidRPr="004901B8">
              <w:rPr>
                <w:rFonts w:eastAsia="CenturyGothic"/>
                <w:kern w:val="0"/>
              </w:rPr>
              <w:t>Większość substancji niebezpiecznych określonych w</w:t>
            </w:r>
            <w:r>
              <w:rPr>
                <w:rFonts w:eastAsia="CenturyGothic"/>
                <w:kern w:val="0"/>
              </w:rPr>
              <w:br/>
            </w:r>
            <w:r w:rsidRPr="004901B8">
              <w:rPr>
                <w:rFonts w:eastAsia="CenturyGothic"/>
                <w:kern w:val="0"/>
              </w:rPr>
              <w:t>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0113DB" w:rsidRPr="000113DB" w:rsidRDefault="000113DB" w:rsidP="00917119">
      <w:pPr>
        <w:jc w:val="left"/>
        <w:rPr>
          <w:rStyle w:val="FontStyle28"/>
          <w:i/>
          <w:sz w:val="20"/>
          <w:szCs w:val="20"/>
        </w:rPr>
      </w:pPr>
      <w:r w:rsidRPr="000113DB">
        <w:rPr>
          <w:rStyle w:val="FontStyle28"/>
          <w:i/>
          <w:sz w:val="20"/>
          <w:szCs w:val="20"/>
          <w:vertAlign w:val="superscript"/>
        </w:rPr>
        <w:t>*)</w:t>
      </w:r>
      <w:r w:rsidRPr="000113DB">
        <w:rPr>
          <w:rStyle w:val="FontStyle28"/>
          <w:i/>
          <w:sz w:val="20"/>
          <w:szCs w:val="20"/>
        </w:rPr>
        <w:tab/>
        <w:t>Łączna zawartość pyłów w mieszance powinna się mieścić w wybranych krzywych granicznych</w:t>
      </w:r>
    </w:p>
    <w:p w:rsidR="000113DB" w:rsidRDefault="000113DB" w:rsidP="00917119">
      <w:pPr>
        <w:jc w:val="left"/>
        <w:rPr>
          <w:rStyle w:val="FontStyle28"/>
          <w:i/>
          <w:sz w:val="20"/>
          <w:szCs w:val="20"/>
        </w:rPr>
      </w:pPr>
      <w:r w:rsidRPr="000113DB">
        <w:rPr>
          <w:rStyle w:val="FontStyle28"/>
          <w:i/>
          <w:sz w:val="20"/>
          <w:szCs w:val="20"/>
          <w:vertAlign w:val="superscript"/>
        </w:rPr>
        <w:t>**)</w:t>
      </w:r>
      <w:r w:rsidRPr="000113DB">
        <w:rPr>
          <w:rStyle w:val="FontStyle28"/>
          <w:i/>
          <w:sz w:val="20"/>
          <w:szCs w:val="20"/>
        </w:rPr>
        <w:tab/>
        <w:t>W przypadku, gdy wymaganie nie jest spełnione , należy sprawdzić mrozoodporność</w:t>
      </w:r>
    </w:p>
    <w:p w:rsidR="0055656C" w:rsidRPr="00056112" w:rsidRDefault="0055656C" w:rsidP="00917119">
      <w:pPr>
        <w:jc w:val="left"/>
        <w:rPr>
          <w:i/>
        </w:rPr>
      </w:pPr>
      <w:r w:rsidRPr="00056112">
        <w:rPr>
          <w:i/>
        </w:rPr>
        <w:t>***) Pod warunkiem zawartość w mieszance nie przekracza 50 %</w:t>
      </w:r>
    </w:p>
    <w:p w:rsidR="007C3D00" w:rsidRPr="00673AD3" w:rsidRDefault="007C3D00" w:rsidP="00917119">
      <w:pPr>
        <w:pStyle w:val="Nagwek2"/>
      </w:pPr>
      <w:r w:rsidRPr="00673AD3">
        <w:t>2.</w:t>
      </w:r>
      <w:r w:rsidR="000113DB">
        <w:t>3</w:t>
      </w:r>
      <w:r w:rsidRPr="00673AD3">
        <w:t>. Woda</w:t>
      </w:r>
    </w:p>
    <w:p w:rsidR="00A064AB" w:rsidRPr="00A064AB" w:rsidRDefault="00A064AB" w:rsidP="00917119">
      <w:pPr>
        <w:pStyle w:val="Tekstpodstawowywcity2"/>
        <w:spacing w:after="0" w:line="240" w:lineRule="auto"/>
        <w:ind w:left="0" w:firstLine="709"/>
        <w:rPr>
          <w:sz w:val="20"/>
        </w:rPr>
      </w:pPr>
      <w:r w:rsidRPr="00A064AB">
        <w:rPr>
          <w:sz w:val="20"/>
        </w:rPr>
        <w:t>Do zraszania kruszywa należy stosować wodę nie zawierającą składników wpływających szkodliwie na mieszankę kruszywa, ale umożliwiającą zagęszczenie mieszanki niezwiązanej. Woda powinna odpowiadać wymaganiom PN-EN 1008.</w:t>
      </w:r>
    </w:p>
    <w:p w:rsidR="007C3D00" w:rsidRPr="00673AD3" w:rsidRDefault="007C3D00" w:rsidP="00917119">
      <w:pPr>
        <w:pStyle w:val="Nagwek2"/>
      </w:pPr>
      <w:r w:rsidRPr="00673AD3">
        <w:t>2.</w:t>
      </w:r>
      <w:r w:rsidR="005D6B6C">
        <w:t>4</w:t>
      </w:r>
      <w:r w:rsidRPr="00673AD3">
        <w:t xml:space="preserve">. Źródła poboru </w:t>
      </w:r>
      <w:r w:rsidRPr="00635AA5">
        <w:t>materiałów</w:t>
      </w:r>
    </w:p>
    <w:p w:rsidR="007C3D00" w:rsidRDefault="007C3D00" w:rsidP="00917119">
      <w:pPr>
        <w:jc w:val="left"/>
      </w:pPr>
      <w:r w:rsidRPr="00673AD3">
        <w:t>Wszystkie materiały użyte do budowy powinny pochodzić ze źródeł uzgodnionych i zatwierdzonych przez Inżyniera. Przed rozpoczęciem robót, Wykonawca powinien dostarczyć Inżynierowi wyniki badań laboratoryjnych łącznie z projektowaną krzywą uziarnienia i reprezentatywne próbki materiałów.</w:t>
      </w:r>
    </w:p>
    <w:p w:rsidR="00FD1F7A" w:rsidRDefault="00FD1F7A" w:rsidP="00917119">
      <w:pPr>
        <w:jc w:val="left"/>
      </w:pPr>
      <w:r w:rsidRPr="00CC6006">
        <w:rPr>
          <w:rFonts w:eastAsia="CenturyGothic"/>
          <w:kern w:val="0"/>
        </w:rPr>
        <w:t>Jakiekolwiek materiały, kt</w:t>
      </w:r>
      <w:r>
        <w:rPr>
          <w:rFonts w:eastAsia="CenturyGothic"/>
          <w:kern w:val="0"/>
        </w:rPr>
        <w:t>ó</w:t>
      </w:r>
      <w:r w:rsidRPr="00CC6006">
        <w:rPr>
          <w:rFonts w:eastAsia="CenturyGothic"/>
          <w:kern w:val="0"/>
        </w:rPr>
        <w:t>rych parametry odbiegają od ST należy odrzucić i badania wykonać na innych materiałach aż do uzyskania pożądanych cech.</w:t>
      </w:r>
    </w:p>
    <w:p w:rsidR="001F0980" w:rsidRDefault="001F0980" w:rsidP="00917119">
      <w:pPr>
        <w:pStyle w:val="Nagwek2"/>
      </w:pPr>
      <w:r>
        <w:t>2.</w:t>
      </w:r>
      <w:r w:rsidR="005D6B6C">
        <w:t>5</w:t>
      </w:r>
      <w:r>
        <w:t>. Składowanie materiałów</w:t>
      </w:r>
    </w:p>
    <w:p w:rsidR="001F0980" w:rsidRPr="00673AD3" w:rsidRDefault="001F0980" w:rsidP="00917119">
      <w:pPr>
        <w:jc w:val="left"/>
      </w:pPr>
      <w:r>
        <w:rPr>
          <w:rFonts w:eastAsia="CenturyGothic"/>
          <w:kern w:val="0"/>
        </w:rPr>
        <w:t>Je</w:t>
      </w:r>
      <w:r>
        <w:rPr>
          <w:rFonts w:eastAsia="CenturyGothic" w:hint="eastAsia"/>
          <w:kern w:val="0"/>
        </w:rPr>
        <w:t>ż</w:t>
      </w:r>
      <w:r>
        <w:rPr>
          <w:rFonts w:eastAsia="CenturyGothic"/>
          <w:kern w:val="0"/>
        </w:rPr>
        <w:t xml:space="preserve">eli kruszywo przeznaczone do wykonania </w:t>
      </w:r>
      <w:r w:rsidR="00A064AB">
        <w:rPr>
          <w:rFonts w:eastAsia="CenturyGothic"/>
          <w:kern w:val="0"/>
        </w:rPr>
        <w:t>poboczy umocnionych</w:t>
      </w:r>
      <w:r w:rsidR="00FD1F7A">
        <w:rPr>
          <w:rFonts w:eastAsia="CenturyGothic"/>
          <w:kern w:val="0"/>
        </w:rPr>
        <w:t xml:space="preserve"> z mieszanki kruszywa niezwiązanego</w:t>
      </w:r>
      <w:r>
        <w:rPr>
          <w:rFonts w:eastAsia="CenturyGothic"/>
          <w:kern w:val="0"/>
        </w:rPr>
        <w:t xml:space="preserve"> nie jest wbudowane bezpo</w:t>
      </w:r>
      <w:r>
        <w:rPr>
          <w:rFonts w:eastAsia="CenturyGothic" w:hint="eastAsia"/>
          <w:kern w:val="0"/>
        </w:rPr>
        <w:t>ś</w:t>
      </w:r>
      <w:r>
        <w:rPr>
          <w:rFonts w:eastAsia="CenturyGothic"/>
          <w:kern w:val="0"/>
        </w:rPr>
        <w:t>rednio po dostarczeniu na budow</w:t>
      </w:r>
      <w:r>
        <w:rPr>
          <w:rFonts w:eastAsia="CenturyGothic" w:hint="eastAsia"/>
          <w:kern w:val="0"/>
        </w:rPr>
        <w:t>ę</w:t>
      </w:r>
      <w:r>
        <w:rPr>
          <w:rFonts w:eastAsia="CenturyGothic"/>
          <w:kern w:val="0"/>
        </w:rPr>
        <w:t xml:space="preserve"> i zachodzi potrzeba jego okresowego sk</w:t>
      </w:r>
      <w:r>
        <w:rPr>
          <w:rFonts w:eastAsia="CenturyGothic" w:hint="eastAsia"/>
          <w:kern w:val="0"/>
        </w:rPr>
        <w:t>ł</w:t>
      </w:r>
      <w:r>
        <w:rPr>
          <w:rFonts w:eastAsia="CenturyGothic"/>
          <w:kern w:val="0"/>
        </w:rPr>
        <w:t>adowania, to Wykonawca rob</w:t>
      </w:r>
      <w:r w:rsidR="000113DB">
        <w:rPr>
          <w:rFonts w:eastAsia="CenturyGothic"/>
          <w:kern w:val="0"/>
        </w:rPr>
        <w:t>ó</w:t>
      </w:r>
      <w:r>
        <w:rPr>
          <w:rFonts w:eastAsia="CenturyGothic"/>
          <w:kern w:val="0"/>
        </w:rPr>
        <w:t>t powinien zabezpieczy</w:t>
      </w:r>
      <w:r>
        <w:rPr>
          <w:rFonts w:eastAsia="CenturyGothic" w:hint="eastAsia"/>
          <w:kern w:val="0"/>
        </w:rPr>
        <w:t>ć</w:t>
      </w:r>
      <w:r>
        <w:rPr>
          <w:rFonts w:eastAsia="CenturyGothic"/>
          <w:kern w:val="0"/>
        </w:rPr>
        <w:t xml:space="preserve"> kruszywo przed zanieczyszczeniem i zmieszaniem z innymi materia</w:t>
      </w:r>
      <w:r>
        <w:rPr>
          <w:rFonts w:eastAsia="CenturyGothic" w:hint="eastAsia"/>
          <w:kern w:val="0"/>
        </w:rPr>
        <w:t>ł</w:t>
      </w:r>
      <w:r>
        <w:rPr>
          <w:rFonts w:eastAsia="CenturyGothic"/>
          <w:kern w:val="0"/>
        </w:rPr>
        <w:t>ami kamiennymi. Pod</w:t>
      </w:r>
      <w:r>
        <w:rPr>
          <w:rFonts w:eastAsia="CenturyGothic" w:hint="eastAsia"/>
          <w:kern w:val="0"/>
        </w:rPr>
        <w:t>ł</w:t>
      </w:r>
      <w:r>
        <w:rPr>
          <w:rFonts w:eastAsia="CenturyGothic"/>
          <w:kern w:val="0"/>
        </w:rPr>
        <w:t>o</w:t>
      </w:r>
      <w:r>
        <w:rPr>
          <w:rFonts w:eastAsia="CenturyGothic" w:hint="eastAsia"/>
          <w:kern w:val="0"/>
        </w:rPr>
        <w:t>ż</w:t>
      </w:r>
      <w:r>
        <w:rPr>
          <w:rFonts w:eastAsia="CenturyGothic"/>
          <w:kern w:val="0"/>
        </w:rPr>
        <w:t>e w miejscu sk</w:t>
      </w:r>
      <w:r>
        <w:rPr>
          <w:rFonts w:eastAsia="CenturyGothic" w:hint="eastAsia"/>
          <w:kern w:val="0"/>
        </w:rPr>
        <w:t>ł</w:t>
      </w:r>
      <w:r>
        <w:rPr>
          <w:rFonts w:eastAsia="CenturyGothic"/>
          <w:kern w:val="0"/>
        </w:rPr>
        <w:t>adowania powinno by</w:t>
      </w:r>
      <w:r>
        <w:rPr>
          <w:rFonts w:eastAsia="CenturyGothic" w:hint="eastAsia"/>
          <w:kern w:val="0"/>
        </w:rPr>
        <w:t>ć</w:t>
      </w:r>
      <w:r>
        <w:rPr>
          <w:rFonts w:eastAsia="CenturyGothic"/>
          <w:kern w:val="0"/>
        </w:rPr>
        <w:t xml:space="preserve"> równe, utwardzone i dobrze odwodnione.</w:t>
      </w:r>
    </w:p>
    <w:p w:rsidR="007C3D00" w:rsidRPr="00673AD3" w:rsidRDefault="007C3D00" w:rsidP="00917119">
      <w:pPr>
        <w:pStyle w:val="Nagwek1"/>
      </w:pPr>
      <w:r w:rsidRPr="00673AD3">
        <w:t xml:space="preserve">3. </w:t>
      </w:r>
      <w:r w:rsidRPr="00635AA5">
        <w:t>Sprzęt</w:t>
      </w:r>
    </w:p>
    <w:p w:rsidR="007C3D00" w:rsidRPr="006F2A22" w:rsidRDefault="007C3D00" w:rsidP="00917119">
      <w:pPr>
        <w:pStyle w:val="Nagwek2"/>
      </w:pPr>
      <w:r w:rsidRPr="006F2A22">
        <w:t xml:space="preserve">3.1. Ogólne </w:t>
      </w:r>
      <w:r w:rsidRPr="00635AA5">
        <w:t>wymagania</w:t>
      </w:r>
      <w:r w:rsidRPr="006F2A22">
        <w:t xml:space="preserve"> dotyczące sprzętu</w:t>
      </w:r>
    </w:p>
    <w:p w:rsidR="007C3D00" w:rsidRPr="006F2A22" w:rsidRDefault="007C3D00" w:rsidP="00917119">
      <w:pPr>
        <w:jc w:val="left"/>
      </w:pPr>
      <w:r w:rsidRPr="006F2A22">
        <w:t>Ogólne wymagania dotyczące s</w:t>
      </w:r>
      <w:r w:rsidR="00C11B56">
        <w:t>przętu podano w Specyfikacji D</w:t>
      </w:r>
      <w:r w:rsidRPr="006F2A22">
        <w:t>-00.00.00 „Wymagania Ogólne” pkt. 3.</w:t>
      </w:r>
    </w:p>
    <w:p w:rsidR="007C3D00" w:rsidRPr="006F2A22" w:rsidRDefault="007C3D00" w:rsidP="00917119">
      <w:pPr>
        <w:pStyle w:val="Nagwek2"/>
      </w:pPr>
      <w:r w:rsidRPr="006F2A22">
        <w:t xml:space="preserve">3.2. Sprzęt do wykonania </w:t>
      </w:r>
      <w:r w:rsidRPr="00635AA5">
        <w:t>nawierzchni</w:t>
      </w:r>
    </w:p>
    <w:p w:rsidR="007C3D00" w:rsidRPr="006F2A22" w:rsidRDefault="007C3D00" w:rsidP="00917119">
      <w:pPr>
        <w:jc w:val="left"/>
      </w:pPr>
      <w:r w:rsidRPr="006F2A22">
        <w:t xml:space="preserve">Do wykonania nawierzchni z </w:t>
      </w:r>
      <w:r w:rsidR="000113DB">
        <w:t xml:space="preserve">mieszanki </w:t>
      </w:r>
      <w:r w:rsidRPr="006F2A22">
        <w:t>kruszyw</w:t>
      </w:r>
      <w:r w:rsidR="000113DB">
        <w:t>a</w:t>
      </w:r>
      <w:r w:rsidRPr="006F2A22">
        <w:t xml:space="preserve"> </w:t>
      </w:r>
      <w:r w:rsidR="000113DB">
        <w:t>niezwiązanego</w:t>
      </w:r>
      <w:r w:rsidRPr="006F2A22">
        <w:t xml:space="preserve"> należy stosować:</w:t>
      </w:r>
    </w:p>
    <w:p w:rsidR="007C3D00" w:rsidRPr="006F2A22" w:rsidRDefault="007C3D00" w:rsidP="00917119">
      <w:pPr>
        <w:pStyle w:val="myslnik"/>
      </w:pPr>
      <w:r w:rsidRPr="006F2A22">
        <w:lastRenderedPageBreak/>
        <w:t>mieszarki stacjonarne do wytwarzania mieszanki kruszyw, wyposażone w urządzenia dozujące wodę,</w:t>
      </w:r>
    </w:p>
    <w:p w:rsidR="007C3D00" w:rsidRPr="006F2A22" w:rsidRDefault="007C3D00" w:rsidP="00917119">
      <w:pPr>
        <w:pStyle w:val="myslnik"/>
      </w:pPr>
      <w:r w:rsidRPr="006F2A22">
        <w:t xml:space="preserve">równiarki lub układarki </w:t>
      </w:r>
      <w:r>
        <w:t>z automatycznym sterowaniem</w:t>
      </w:r>
      <w:r w:rsidRPr="006F2A22">
        <w:t xml:space="preserve"> do rozkładania materiału,</w:t>
      </w:r>
    </w:p>
    <w:p w:rsidR="007C3D00" w:rsidRPr="006F2A22" w:rsidRDefault="007C3D00" w:rsidP="00917119">
      <w:pPr>
        <w:pStyle w:val="myslnik"/>
      </w:pPr>
      <w:r w:rsidRPr="006F2A22">
        <w:t>walce ogumione, walce stalowe gładkie wibracyjne lub statyczne,</w:t>
      </w:r>
    </w:p>
    <w:p w:rsidR="007C3D00" w:rsidRPr="006F2A22" w:rsidRDefault="007C3D00" w:rsidP="00917119">
      <w:pPr>
        <w:pStyle w:val="myslnik"/>
      </w:pPr>
      <w:r w:rsidRPr="006F2A22">
        <w:t>zagęszczarki płytowe, ubijaki mechaniczne lub małe walce wibracyjne, do stosowania w miejscach trudnodostępnych.</w:t>
      </w:r>
    </w:p>
    <w:p w:rsidR="007C3D00" w:rsidRPr="006F2A22" w:rsidRDefault="007C3D00" w:rsidP="00917119">
      <w:pPr>
        <w:pStyle w:val="Nagwek1"/>
      </w:pPr>
      <w:r w:rsidRPr="006F2A22">
        <w:t xml:space="preserve">4.  </w:t>
      </w:r>
      <w:r w:rsidRPr="00635AA5">
        <w:t>Transport</w:t>
      </w:r>
    </w:p>
    <w:p w:rsidR="007C3D00" w:rsidRPr="006F2A22" w:rsidRDefault="007C3D00" w:rsidP="00917119">
      <w:pPr>
        <w:pStyle w:val="Nagwek2"/>
      </w:pPr>
      <w:r w:rsidRPr="006F2A22">
        <w:t xml:space="preserve">4.1. Ogólne wymagania </w:t>
      </w:r>
      <w:r w:rsidRPr="00635AA5">
        <w:t>dotyczące</w:t>
      </w:r>
      <w:r w:rsidRPr="006F2A22">
        <w:t xml:space="preserve"> transportu</w:t>
      </w:r>
    </w:p>
    <w:p w:rsidR="007C3D00" w:rsidRPr="006F2A22" w:rsidRDefault="007C3D00" w:rsidP="00917119">
      <w:pPr>
        <w:jc w:val="left"/>
      </w:pPr>
      <w:r w:rsidRPr="006F2A22">
        <w:t>Ogólne wymagania dotyczące tran</w:t>
      </w:r>
      <w:r w:rsidR="00C11B56">
        <w:t>sportu podano w Specyfikacji D</w:t>
      </w:r>
      <w:r w:rsidRPr="006F2A22">
        <w:t>-00.00.00 "Wymagania Ogólne", pkt. 4.</w:t>
      </w:r>
    </w:p>
    <w:p w:rsidR="007C3D00" w:rsidRPr="006F2A22" w:rsidRDefault="007C3D00" w:rsidP="00917119">
      <w:pPr>
        <w:pStyle w:val="Nagwek2"/>
      </w:pPr>
      <w:r w:rsidRPr="006F2A22">
        <w:t xml:space="preserve">4.2. </w:t>
      </w:r>
      <w:r w:rsidRPr="00635AA5">
        <w:t>Transport</w:t>
      </w:r>
      <w:r w:rsidRPr="006F2A22">
        <w:t xml:space="preserve"> </w:t>
      </w:r>
      <w:r w:rsidR="0024043B">
        <w:t>materiałów</w:t>
      </w:r>
    </w:p>
    <w:p w:rsidR="007C3D00" w:rsidRPr="006F2A22" w:rsidRDefault="007C3D00" w:rsidP="00917119">
      <w:pPr>
        <w:jc w:val="left"/>
      </w:pPr>
      <w:r w:rsidRPr="006F2A22">
        <w:t>Transport kruszywa powinien się odbywać w sposób przeciwdziałający jego zanieczyszczeniu</w:t>
      </w:r>
      <w:r w:rsidR="0024043B">
        <w:t>,</w:t>
      </w:r>
      <w:r w:rsidRPr="006F2A22">
        <w:t xml:space="preserve"> rozsegregowaniu</w:t>
      </w:r>
      <w:r w:rsidR="0024043B">
        <w:t xml:space="preserve">, </w:t>
      </w:r>
      <w:r w:rsidR="0024043B" w:rsidRPr="006F2A22">
        <w:t>zmieszaniem z innymi materiałami, nadmiernym wysuszeniem i zawilgoceniem</w:t>
      </w:r>
      <w:r w:rsidRPr="006F2A22">
        <w:t>.</w:t>
      </w:r>
    </w:p>
    <w:p w:rsidR="007C3D00" w:rsidRDefault="007C3D00" w:rsidP="00917119">
      <w:pPr>
        <w:jc w:val="left"/>
      </w:pPr>
      <w:r w:rsidRPr="006F2A22">
        <w:t>Kruszywo drobne należy zabezpieczyć przed rozpyleniem.</w:t>
      </w:r>
    </w:p>
    <w:p w:rsidR="0024043B" w:rsidRPr="0024043B" w:rsidRDefault="0024043B" w:rsidP="00917119">
      <w:pPr>
        <w:jc w:val="left"/>
      </w:pPr>
      <w:r w:rsidRPr="0024043B">
        <w:rPr>
          <w:rStyle w:val="FontStyle28"/>
          <w:sz w:val="20"/>
          <w:szCs w:val="20"/>
        </w:rPr>
        <w:t>Woda może być dostarczana wodociągiem lub przewoźnymi zbiornikami wody.</w:t>
      </w:r>
    </w:p>
    <w:p w:rsidR="007C3D00" w:rsidRPr="007B7399" w:rsidRDefault="007C3D00" w:rsidP="00917119">
      <w:pPr>
        <w:pStyle w:val="Nagwek1"/>
      </w:pPr>
      <w:r w:rsidRPr="007B7399">
        <w:t xml:space="preserve">5. </w:t>
      </w:r>
      <w:r w:rsidRPr="00635AA5">
        <w:t>Wykonanie</w:t>
      </w:r>
      <w:r w:rsidRPr="007B7399">
        <w:t xml:space="preserve"> robót</w:t>
      </w:r>
    </w:p>
    <w:p w:rsidR="007C3D00" w:rsidRPr="007B7399" w:rsidRDefault="007C3D00" w:rsidP="00917119">
      <w:pPr>
        <w:pStyle w:val="Nagwek2"/>
      </w:pPr>
      <w:r w:rsidRPr="007B7399">
        <w:t xml:space="preserve">5.1. Ogólne zasady </w:t>
      </w:r>
      <w:r w:rsidRPr="00635AA5">
        <w:t>wykonania</w:t>
      </w:r>
      <w:r w:rsidRPr="007B7399">
        <w:t xml:space="preserve"> robót</w:t>
      </w:r>
    </w:p>
    <w:p w:rsidR="007C3D00" w:rsidRPr="007B7399" w:rsidRDefault="007C3D00" w:rsidP="00917119">
      <w:pPr>
        <w:jc w:val="left"/>
      </w:pPr>
      <w:r w:rsidRPr="007B7399">
        <w:t>Ogólne zasady wykonania</w:t>
      </w:r>
      <w:r w:rsidR="00C11B56">
        <w:t xml:space="preserve"> robót podano w Specyfikacji D</w:t>
      </w:r>
      <w:r w:rsidRPr="007B7399">
        <w:t>-00.00.00 „Wymagania ogólne” pkt 5.</w:t>
      </w:r>
    </w:p>
    <w:p w:rsidR="007C3D00" w:rsidRPr="007B7399" w:rsidRDefault="007C3D00" w:rsidP="00917119">
      <w:pPr>
        <w:pStyle w:val="Nagwek2"/>
      </w:pPr>
      <w:r w:rsidRPr="007B7399">
        <w:t xml:space="preserve">5.2. </w:t>
      </w:r>
      <w:r w:rsidRPr="00635AA5">
        <w:t>Przygotowanie</w:t>
      </w:r>
      <w:r w:rsidRPr="007B7399">
        <w:t xml:space="preserve"> podłoża</w:t>
      </w:r>
    </w:p>
    <w:p w:rsidR="007C3D00" w:rsidRPr="007B7399" w:rsidRDefault="007C3D00" w:rsidP="00917119">
      <w:pPr>
        <w:jc w:val="left"/>
      </w:pPr>
      <w:r w:rsidRPr="007B7399">
        <w:t xml:space="preserve">Podłoże pod warstwę </w:t>
      </w:r>
      <w:r w:rsidR="00072AFF">
        <w:t>nawierzchni</w:t>
      </w:r>
      <w:r w:rsidRPr="007B7399">
        <w:t xml:space="preserve"> z </w:t>
      </w:r>
      <w:r w:rsidR="00150A68">
        <w:t xml:space="preserve">mieszanki </w:t>
      </w:r>
      <w:r w:rsidRPr="007B7399">
        <w:t xml:space="preserve">kruszywa </w:t>
      </w:r>
      <w:r w:rsidR="00150A68">
        <w:t>niezwiązanego</w:t>
      </w:r>
      <w:r>
        <w:t xml:space="preserve"> stanowi</w:t>
      </w:r>
      <w:r w:rsidRPr="007B7399">
        <w:t xml:space="preserve"> warstwa </w:t>
      </w:r>
      <w:r w:rsidR="00150A68">
        <w:t>kruszywa z mieszanki związanej</w:t>
      </w:r>
      <w:r w:rsidRPr="007B7399">
        <w:t xml:space="preserve"> </w:t>
      </w:r>
      <w:r w:rsidR="003B31ED">
        <w:t>cementem</w:t>
      </w:r>
      <w:r w:rsidR="00072AFF">
        <w:t xml:space="preserve"> lu</w:t>
      </w:r>
      <w:r w:rsidR="0031721D">
        <w:t>b</w:t>
      </w:r>
      <w:r w:rsidR="00072AFF">
        <w:t xml:space="preserve"> nasyp drogowy</w:t>
      </w:r>
      <w:r w:rsidRPr="007B7399">
        <w:t>.</w:t>
      </w:r>
    </w:p>
    <w:p w:rsidR="007C3D00" w:rsidRDefault="007C3D00" w:rsidP="00917119">
      <w:pPr>
        <w:jc w:val="left"/>
      </w:pPr>
      <w:r w:rsidRPr="007B7399">
        <w:t xml:space="preserve">Podłoże to powinno spełniać wymagania określone w </w:t>
      </w:r>
      <w:r w:rsidR="00635AA5">
        <w:t xml:space="preserve">odpowiednich </w:t>
      </w:r>
      <w:r w:rsidRPr="007B7399">
        <w:t>Specyfikacj</w:t>
      </w:r>
      <w:r w:rsidR="00635AA5">
        <w:t>ach</w:t>
      </w:r>
      <w:r w:rsidRPr="007B7399">
        <w:t>.</w:t>
      </w:r>
    </w:p>
    <w:p w:rsidR="00072AFF" w:rsidRPr="00072AFF" w:rsidRDefault="00072AFF" w:rsidP="00917119">
      <w:pPr>
        <w:pStyle w:val="Nagwek2"/>
      </w:pPr>
      <w:r w:rsidRPr="00072AFF">
        <w:t xml:space="preserve">5.3. </w:t>
      </w:r>
      <w:r w:rsidRPr="00072AFF">
        <w:rPr>
          <w:rStyle w:val="FontStyle26"/>
          <w:b/>
          <w:bCs w:val="0"/>
          <w:sz w:val="24"/>
        </w:rPr>
        <w:t>Projektowanie mieszanki kruszywa niezwiązanego</w:t>
      </w:r>
    </w:p>
    <w:p w:rsidR="00072AFF" w:rsidRPr="00072AFF" w:rsidRDefault="00072AFF" w:rsidP="00917119">
      <w:pPr>
        <w:jc w:val="left"/>
        <w:rPr>
          <w:rStyle w:val="FontStyle28"/>
          <w:sz w:val="20"/>
          <w:szCs w:val="20"/>
        </w:rPr>
      </w:pPr>
      <w:r w:rsidRPr="00072AFF">
        <w:rPr>
          <w:rStyle w:val="FontStyle28"/>
          <w:sz w:val="20"/>
          <w:szCs w:val="20"/>
        </w:rP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rsidR="00072AFF" w:rsidRPr="00072AFF" w:rsidRDefault="00072AFF" w:rsidP="00917119">
      <w:pPr>
        <w:jc w:val="left"/>
        <w:rPr>
          <w:rStyle w:val="FontStyle28"/>
          <w:sz w:val="20"/>
          <w:szCs w:val="20"/>
        </w:rPr>
      </w:pPr>
      <w:r w:rsidRPr="00072AFF">
        <w:rPr>
          <w:rStyle w:val="FontStyle28"/>
          <w:sz w:val="20"/>
          <w:szCs w:val="20"/>
        </w:rPr>
        <w:t xml:space="preserve">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w:t>
      </w:r>
      <w:r w:rsidR="008B1DFC">
        <w:rPr>
          <w:rStyle w:val="FontStyle28"/>
          <w:sz w:val="20"/>
          <w:szCs w:val="20"/>
        </w:rPr>
        <w:t>poboczy umocnionych.</w:t>
      </w:r>
    </w:p>
    <w:p w:rsidR="00072AFF" w:rsidRPr="00072AFF" w:rsidRDefault="00072AFF" w:rsidP="00917119">
      <w:pPr>
        <w:jc w:val="left"/>
        <w:rPr>
          <w:rStyle w:val="FontStyle28"/>
          <w:sz w:val="20"/>
          <w:szCs w:val="20"/>
        </w:rPr>
      </w:pPr>
      <w:r w:rsidRPr="00072AFF">
        <w:rPr>
          <w:rStyle w:val="FontStyle28"/>
          <w:sz w:val="20"/>
          <w:szCs w:val="20"/>
        </w:rPr>
        <w:t>Skład mieszanki projektuje się zgodnie z wymaganiami wobec mieszanek niezwiązanych d</w:t>
      </w:r>
      <w:r w:rsidR="008B1DFC">
        <w:rPr>
          <w:rStyle w:val="FontStyle28"/>
          <w:sz w:val="20"/>
          <w:szCs w:val="20"/>
        </w:rPr>
        <w:t>la</w:t>
      </w:r>
      <w:r w:rsidRPr="00072AFF">
        <w:rPr>
          <w:rStyle w:val="FontStyle28"/>
          <w:sz w:val="20"/>
          <w:szCs w:val="20"/>
        </w:rPr>
        <w:t xml:space="preserve"> </w:t>
      </w:r>
      <w:r w:rsidR="008954B0">
        <w:rPr>
          <w:rStyle w:val="FontStyle28"/>
          <w:sz w:val="20"/>
          <w:szCs w:val="20"/>
        </w:rPr>
        <w:t>poboczy</w:t>
      </w:r>
      <w:r w:rsidRPr="00072AFF">
        <w:rPr>
          <w:rStyle w:val="FontStyle28"/>
          <w:sz w:val="20"/>
          <w:szCs w:val="20"/>
        </w:rPr>
        <w:t>, określonych w tablicy 2. Wartości graniczne i tolerancje zawierają rozrzut wynikający z pobierania i dzielenia próbki, przedział ufności (precyzja w porównywalnych warunkach) oraz nierównomierności warunków wykonawczych.</w:t>
      </w:r>
    </w:p>
    <w:p w:rsidR="00072AFF" w:rsidRPr="00072AFF" w:rsidRDefault="00072AFF" w:rsidP="00917119">
      <w:pPr>
        <w:jc w:val="left"/>
        <w:rPr>
          <w:rStyle w:val="FontStyle28"/>
          <w:sz w:val="20"/>
          <w:szCs w:val="20"/>
        </w:rPr>
      </w:pPr>
      <w:r w:rsidRPr="00072AFF">
        <w:rPr>
          <w:rStyle w:val="FontStyle28"/>
          <w:sz w:val="20"/>
          <w:szCs w:val="20"/>
        </w:rPr>
        <w:t>Mieszanki kruszyw powinny być tak produkowane i składowane, aby wykazywały zachowanie jednakowych właściwości, spełniając wymagania z tablicy 2.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rsidR="00FC7391" w:rsidRDefault="008954B0" w:rsidP="00917119">
      <w:pPr>
        <w:jc w:val="left"/>
        <w:rPr>
          <w:rStyle w:val="FontStyle28"/>
          <w:sz w:val="20"/>
          <w:szCs w:val="20"/>
        </w:rPr>
      </w:pPr>
      <w:r>
        <w:rPr>
          <w:rStyle w:val="FontStyle28"/>
          <w:sz w:val="20"/>
          <w:szCs w:val="20"/>
        </w:rPr>
        <w:t>Do poboczy</w:t>
      </w:r>
      <w:r w:rsidR="00072AFF" w:rsidRPr="00D23163">
        <w:rPr>
          <w:rStyle w:val="FontStyle28"/>
          <w:sz w:val="20"/>
          <w:szCs w:val="20"/>
        </w:rPr>
        <w:t xml:space="preserve"> </w:t>
      </w:r>
      <w:r w:rsidR="00FC7391" w:rsidRPr="00D62C8D">
        <w:rPr>
          <w:rStyle w:val="FontStyle28"/>
          <w:sz w:val="20"/>
          <w:szCs w:val="20"/>
        </w:rPr>
        <w:t>umocnionych</w:t>
      </w:r>
      <w:r w:rsidR="00FC7391">
        <w:rPr>
          <w:rStyle w:val="FontStyle28"/>
          <w:sz w:val="20"/>
          <w:szCs w:val="20"/>
        </w:rPr>
        <w:t xml:space="preserve"> </w:t>
      </w:r>
      <w:r w:rsidR="00072AFF" w:rsidRPr="00D23163">
        <w:rPr>
          <w:rStyle w:val="FontStyle28"/>
          <w:sz w:val="20"/>
          <w:szCs w:val="20"/>
        </w:rPr>
        <w:t xml:space="preserve">należy stosować mieszanki kruszyw </w:t>
      </w:r>
      <w:r w:rsidR="00FC7391">
        <w:rPr>
          <w:rStyle w:val="FontStyle28"/>
          <w:sz w:val="20"/>
          <w:szCs w:val="20"/>
        </w:rPr>
        <w:t xml:space="preserve">0/31,5 mm </w:t>
      </w:r>
      <w:r w:rsidR="00FC7391" w:rsidRPr="00D62C8D">
        <w:rPr>
          <w:rStyle w:val="FontStyle28"/>
          <w:sz w:val="20"/>
          <w:szCs w:val="20"/>
        </w:rPr>
        <w:t>oraz z mieszanek z kruszywem z recyklingu odpowiadające wymaganiom WT-4.</w:t>
      </w:r>
    </w:p>
    <w:p w:rsidR="00072AFF" w:rsidRDefault="00072AFF" w:rsidP="00917119">
      <w:pPr>
        <w:pStyle w:val="Style4"/>
        <w:widowControl/>
        <w:spacing w:line="227" w:lineRule="exact"/>
        <w:ind w:left="4" w:firstLine="280"/>
        <w:jc w:val="left"/>
        <w:rPr>
          <w:rStyle w:val="FontStyle28"/>
          <w:sz w:val="20"/>
          <w:szCs w:val="20"/>
        </w:rPr>
      </w:pPr>
      <w:r w:rsidRPr="00072AFF">
        <w:rPr>
          <w:rStyle w:val="FontStyle28"/>
          <w:sz w:val="20"/>
          <w:szCs w:val="20"/>
        </w:rPr>
        <w:t xml:space="preserve">Uziarnienie mieszanek kruszyw o wymiarach ziaren D od </w:t>
      </w:r>
      <w:r w:rsidR="00A20350">
        <w:rPr>
          <w:rStyle w:val="FontStyle28"/>
          <w:sz w:val="20"/>
          <w:szCs w:val="20"/>
        </w:rPr>
        <w:t xml:space="preserve">0 do </w:t>
      </w:r>
      <w:r>
        <w:rPr>
          <w:rStyle w:val="FontStyle28"/>
          <w:sz w:val="20"/>
          <w:szCs w:val="20"/>
        </w:rPr>
        <w:t>31.5</w:t>
      </w:r>
      <w:r w:rsidRPr="00072AFF">
        <w:rPr>
          <w:rStyle w:val="FontStyle28"/>
          <w:sz w:val="20"/>
          <w:szCs w:val="20"/>
        </w:rPr>
        <w:t xml:space="preserve"> mm należy określić według </w:t>
      </w:r>
      <w:r w:rsidR="00A20350">
        <w:rPr>
          <w:rStyle w:val="FontStyle28"/>
          <w:sz w:val="20"/>
          <w:szCs w:val="20"/>
        </w:rPr>
        <w:br/>
      </w:r>
      <w:r w:rsidRPr="00072AFF">
        <w:rPr>
          <w:rStyle w:val="FontStyle28"/>
          <w:sz w:val="20"/>
          <w:szCs w:val="20"/>
        </w:rPr>
        <w:t>PN-EN 933-1. Krzywe uziarnienia mieszanki kruszyw powinny zawierać się w obszarze między krzywymi granicznymi uziarnienia przedstawionymi na rysunku 1</w:t>
      </w:r>
      <w:r w:rsidR="007D1763">
        <w:rPr>
          <w:rStyle w:val="FontStyle28"/>
          <w:sz w:val="20"/>
          <w:szCs w:val="20"/>
        </w:rPr>
        <w:t xml:space="preserve"> </w:t>
      </w:r>
      <w:r w:rsidR="007D1763" w:rsidRPr="00056112">
        <w:rPr>
          <w:rStyle w:val="FontStyle28"/>
          <w:sz w:val="20"/>
          <w:szCs w:val="20"/>
        </w:rPr>
        <w:t>lub 2</w:t>
      </w:r>
      <w:r w:rsidRPr="00056112">
        <w:rPr>
          <w:rStyle w:val="FontStyle28"/>
          <w:sz w:val="20"/>
          <w:szCs w:val="20"/>
        </w:rPr>
        <w:t>, odpowiednio</w:t>
      </w:r>
      <w:r w:rsidRPr="00072AFF">
        <w:rPr>
          <w:rStyle w:val="FontStyle28"/>
          <w:sz w:val="20"/>
          <w:szCs w:val="20"/>
        </w:rPr>
        <w:t xml:space="preserve"> dla każdego rodzaju mieszanki</w:t>
      </w:r>
      <w:r w:rsidR="00703053">
        <w:rPr>
          <w:rStyle w:val="FontStyle28"/>
          <w:sz w:val="20"/>
          <w:szCs w:val="20"/>
        </w:rPr>
        <w:t>.</w:t>
      </w:r>
    </w:p>
    <w:p w:rsidR="008B1DFC" w:rsidRPr="00703053" w:rsidRDefault="008B1DFC" w:rsidP="00917119">
      <w:pPr>
        <w:jc w:val="left"/>
        <w:rPr>
          <w:rStyle w:val="FontStyle28"/>
          <w:sz w:val="20"/>
          <w:szCs w:val="20"/>
        </w:rPr>
      </w:pPr>
      <w:r w:rsidRPr="00703053">
        <w:rPr>
          <w:rStyle w:val="FontStyle28"/>
          <w:sz w:val="20"/>
          <w:szCs w:val="20"/>
        </w:rPr>
        <w:t xml:space="preserve">Mieszanki kruszyw niezwiązanych stosowane do </w:t>
      </w:r>
      <w:r>
        <w:rPr>
          <w:rStyle w:val="FontStyle28"/>
          <w:sz w:val="20"/>
          <w:szCs w:val="20"/>
        </w:rPr>
        <w:t>poboczy umocnionych</w:t>
      </w:r>
      <w:r w:rsidRPr="00703053">
        <w:rPr>
          <w:rStyle w:val="FontStyle28"/>
          <w:sz w:val="20"/>
          <w:szCs w:val="20"/>
        </w:rPr>
        <w:t xml:space="preserve"> powinny spełniać wymagania wg tablicy 2. Wymagania wobec wrażliwości na mróz, mieszanek przeznaczonych do nawierzchni, dotyczą badania materiału po pięciokrotnym zagęszczeniu metodą Proctora według PN-EN 13286-2. Nie stawia się wymagań wobec wodoprzepuszczalności zagęszczonej mieszanki niezwiązanej do nawierzchni z kruszywa niezwiązanego, o ile szczegółowe rozwiązania tego nie przewidują.</w:t>
      </w:r>
    </w:p>
    <w:p w:rsidR="008B1DFC" w:rsidRPr="00703053" w:rsidRDefault="008B1DFC" w:rsidP="00917119">
      <w:pPr>
        <w:jc w:val="left"/>
      </w:pPr>
      <w:r w:rsidRPr="00703053">
        <w:rPr>
          <w:rStyle w:val="FontStyle28"/>
          <w:sz w:val="20"/>
          <w:szCs w:val="20"/>
        </w:rPr>
        <w:t>Zawartość wody w mieszankach kruszyw i gruntach powinna odpowiadać wymaganej zawartości wody w trakcie wbudowywania i zagęszczania określonej według PN-EN 13286-2, w granicach podanych w tablicy 2.</w:t>
      </w:r>
    </w:p>
    <w:p w:rsidR="008B1DFC" w:rsidRPr="00072AFF" w:rsidRDefault="008B1DFC" w:rsidP="00917119">
      <w:pPr>
        <w:pStyle w:val="Style4"/>
        <w:widowControl/>
        <w:spacing w:line="227" w:lineRule="exact"/>
        <w:ind w:left="4"/>
        <w:jc w:val="left"/>
        <w:rPr>
          <w:rStyle w:val="FontStyle28"/>
          <w:sz w:val="20"/>
          <w:szCs w:val="20"/>
        </w:rPr>
      </w:pPr>
    </w:p>
    <w:p w:rsidR="00D23163" w:rsidRPr="00072AFF" w:rsidRDefault="00D23163" w:rsidP="00917119">
      <w:pPr>
        <w:jc w:val="left"/>
      </w:pPr>
    </w:p>
    <w:p w:rsidR="00473871" w:rsidRDefault="003A1BC0" w:rsidP="00917119">
      <w:pPr>
        <w:jc w:val="left"/>
      </w:pPr>
      <w:r>
        <w:br w:type="page"/>
      </w:r>
    </w:p>
    <w:p w:rsidR="00473871" w:rsidRDefault="00473871" w:rsidP="00917119">
      <w:pPr>
        <w:jc w:val="left"/>
      </w:pPr>
    </w:p>
    <w:p w:rsidR="00473871" w:rsidRDefault="00473871" w:rsidP="00917119">
      <w:pPr>
        <w:jc w:val="left"/>
      </w:pPr>
    </w:p>
    <w:p w:rsidR="006E6263" w:rsidRPr="00056112" w:rsidRDefault="006E6263" w:rsidP="00917119">
      <w:pPr>
        <w:jc w:val="left"/>
      </w:pPr>
      <w:r w:rsidRPr="00056112">
        <w:t xml:space="preserve">Rys. </w:t>
      </w:r>
      <w:r w:rsidR="00EA7B0B">
        <w:t>1</w:t>
      </w:r>
      <w:r w:rsidRPr="00056112">
        <w:t xml:space="preserve">. </w:t>
      </w:r>
      <w:r w:rsidR="00EA7B0B">
        <w:t>Mieszanka niezwiązana 0/31,5</w:t>
      </w:r>
    </w:p>
    <w:p w:rsidR="006E6263" w:rsidRDefault="006E6263" w:rsidP="00917119">
      <w:pPr>
        <w:jc w:val="left"/>
      </w:pPr>
    </w:p>
    <w:p w:rsidR="006E6263" w:rsidRDefault="0026195F" w:rsidP="00917119">
      <w:pPr>
        <w:ind w:firstLine="0"/>
        <w:jc w:val="left"/>
      </w:pPr>
      <w:r w:rsidRPr="00EA7B0B">
        <w:rPr>
          <w:noProof/>
        </w:rPr>
        <w:drawing>
          <wp:inline distT="0" distB="0" distL="0" distR="0">
            <wp:extent cx="6122670" cy="236156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2361565"/>
                    </a:xfrm>
                    <a:prstGeom prst="rect">
                      <a:avLst/>
                    </a:prstGeom>
                    <a:noFill/>
                    <a:ln>
                      <a:noFill/>
                    </a:ln>
                  </pic:spPr>
                </pic:pic>
              </a:graphicData>
            </a:graphic>
          </wp:inline>
        </w:drawing>
      </w:r>
    </w:p>
    <w:p w:rsidR="00781458" w:rsidRDefault="00781458" w:rsidP="00917119">
      <w:pPr>
        <w:jc w:val="left"/>
      </w:pPr>
    </w:p>
    <w:p w:rsidR="00473871" w:rsidRDefault="00473871" w:rsidP="00917119">
      <w:pPr>
        <w:jc w:val="left"/>
      </w:pPr>
    </w:p>
    <w:p w:rsidR="00473871" w:rsidRDefault="00473871" w:rsidP="00917119">
      <w:pPr>
        <w:jc w:val="left"/>
      </w:pPr>
    </w:p>
    <w:p w:rsidR="00473871" w:rsidRDefault="00473871" w:rsidP="00917119">
      <w:pPr>
        <w:jc w:val="left"/>
      </w:pPr>
    </w:p>
    <w:p w:rsidR="009E7B8A" w:rsidRPr="009E7B8A" w:rsidRDefault="009E7B8A" w:rsidP="00917119">
      <w:pPr>
        <w:pStyle w:val="Tabela"/>
      </w:pPr>
      <w:r w:rsidRPr="009E7B8A">
        <w:t xml:space="preserve">Tablica 2. </w:t>
      </w:r>
      <w:r w:rsidRPr="009E7B8A">
        <w:rPr>
          <w:rStyle w:val="FontStyle28"/>
          <w:sz w:val="20"/>
          <w:szCs w:val="20"/>
        </w:rPr>
        <w:t>Wymagania wobec mieszanek kruszywa niezwiązanego w warstwie nawierzchni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898"/>
        <w:gridCol w:w="1356"/>
        <w:gridCol w:w="5374"/>
      </w:tblGrid>
      <w:tr w:rsidR="008954B0" w:rsidRPr="00227750" w:rsidTr="00686675">
        <w:trPr>
          <w:trHeight w:hRule="exact" w:val="788"/>
        </w:trPr>
        <w:tc>
          <w:tcPr>
            <w:tcW w:w="1505" w:type="pct"/>
            <w:vMerge w:val="restart"/>
            <w:vAlign w:val="center"/>
          </w:tcPr>
          <w:p w:rsidR="008954B0" w:rsidRPr="00227750" w:rsidRDefault="008954B0" w:rsidP="00917119">
            <w:pPr>
              <w:pStyle w:val="Style14"/>
              <w:widowControl/>
              <w:spacing w:line="234" w:lineRule="exact"/>
              <w:jc w:val="left"/>
              <w:rPr>
                <w:rStyle w:val="FontStyle28"/>
                <w:sz w:val="20"/>
                <w:szCs w:val="20"/>
              </w:rPr>
            </w:pPr>
            <w:r w:rsidRPr="00227750">
              <w:rPr>
                <w:rStyle w:val="FontStyle28"/>
                <w:sz w:val="20"/>
                <w:szCs w:val="20"/>
              </w:rPr>
              <w:t>Właściwość kruszywa</w:t>
            </w:r>
          </w:p>
        </w:tc>
        <w:tc>
          <w:tcPr>
            <w:tcW w:w="3495" w:type="pct"/>
            <w:gridSpan w:val="2"/>
            <w:vAlign w:val="center"/>
          </w:tcPr>
          <w:p w:rsidR="008954B0" w:rsidRPr="00227750" w:rsidRDefault="008954B0" w:rsidP="00917119">
            <w:pPr>
              <w:pStyle w:val="Style14"/>
              <w:widowControl/>
              <w:ind w:left="40" w:right="61"/>
              <w:jc w:val="left"/>
              <w:rPr>
                <w:rStyle w:val="FontStyle28"/>
                <w:sz w:val="20"/>
                <w:szCs w:val="20"/>
              </w:rPr>
            </w:pPr>
            <w:r w:rsidRPr="00227750">
              <w:rPr>
                <w:rStyle w:val="FontStyle28"/>
                <w:sz w:val="20"/>
                <w:szCs w:val="20"/>
              </w:rPr>
              <w:t xml:space="preserve">Wymagania wobec mieszanek kruszywa niezwiązanego </w:t>
            </w:r>
            <w:r w:rsidR="00EA7B0B">
              <w:rPr>
                <w:rStyle w:val="FontStyle28"/>
                <w:sz w:val="20"/>
                <w:szCs w:val="20"/>
              </w:rPr>
              <w:t xml:space="preserve">do utrwalenia </w:t>
            </w:r>
            <w:r>
              <w:rPr>
                <w:rStyle w:val="FontStyle28"/>
                <w:sz w:val="20"/>
                <w:szCs w:val="20"/>
              </w:rPr>
              <w:t>poboczy</w:t>
            </w:r>
          </w:p>
        </w:tc>
      </w:tr>
      <w:tr w:rsidR="008954B0" w:rsidRPr="00227750" w:rsidTr="00686675">
        <w:trPr>
          <w:trHeight w:hRule="exact" w:val="573"/>
        </w:trPr>
        <w:tc>
          <w:tcPr>
            <w:tcW w:w="1505" w:type="pct"/>
            <w:vMerge/>
            <w:vAlign w:val="center"/>
          </w:tcPr>
          <w:p w:rsidR="008954B0" w:rsidRPr="00227750" w:rsidRDefault="008954B0" w:rsidP="00917119">
            <w:pPr>
              <w:jc w:val="left"/>
              <w:rPr>
                <w:rStyle w:val="FontStyle28"/>
                <w:sz w:val="20"/>
                <w:szCs w:val="20"/>
              </w:rPr>
            </w:pPr>
          </w:p>
        </w:tc>
        <w:tc>
          <w:tcPr>
            <w:tcW w:w="704" w:type="pct"/>
            <w:vAlign w:val="center"/>
          </w:tcPr>
          <w:p w:rsidR="008954B0" w:rsidRPr="00227750" w:rsidRDefault="008954B0" w:rsidP="00917119">
            <w:pPr>
              <w:pStyle w:val="Style17"/>
              <w:widowControl/>
              <w:spacing w:line="230" w:lineRule="exact"/>
              <w:ind w:left="11" w:right="22" w:hanging="11"/>
              <w:jc w:val="left"/>
              <w:rPr>
                <w:rStyle w:val="FontStyle28"/>
                <w:sz w:val="20"/>
                <w:szCs w:val="20"/>
              </w:rPr>
            </w:pPr>
            <w:r w:rsidRPr="00227750">
              <w:rPr>
                <w:rStyle w:val="FontStyle28"/>
                <w:sz w:val="20"/>
                <w:szCs w:val="20"/>
              </w:rPr>
              <w:t>Punkt PN-EN 13285</w:t>
            </w:r>
          </w:p>
        </w:tc>
        <w:tc>
          <w:tcPr>
            <w:tcW w:w="2791"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Wymagania</w:t>
            </w:r>
          </w:p>
        </w:tc>
      </w:tr>
      <w:tr w:rsidR="008954B0" w:rsidRPr="00227750" w:rsidTr="00686675">
        <w:trPr>
          <w:trHeight w:hRule="exact" w:val="241"/>
        </w:trPr>
        <w:tc>
          <w:tcPr>
            <w:tcW w:w="1505"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Uziarnienie mieszanek</w:t>
            </w:r>
          </w:p>
        </w:tc>
        <w:tc>
          <w:tcPr>
            <w:tcW w:w="704"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4.3.1</w:t>
            </w:r>
          </w:p>
        </w:tc>
        <w:tc>
          <w:tcPr>
            <w:tcW w:w="2791" w:type="pct"/>
            <w:vAlign w:val="center"/>
          </w:tcPr>
          <w:p w:rsidR="008954B0" w:rsidRPr="00227750" w:rsidRDefault="008954B0" w:rsidP="00917119">
            <w:pPr>
              <w:pStyle w:val="Style14"/>
              <w:widowControl/>
              <w:spacing w:line="240" w:lineRule="auto"/>
              <w:ind w:left="43"/>
              <w:jc w:val="left"/>
              <w:rPr>
                <w:rStyle w:val="FontStyle28"/>
                <w:sz w:val="20"/>
                <w:szCs w:val="20"/>
              </w:rPr>
            </w:pPr>
            <w:r w:rsidRPr="00056112">
              <w:rPr>
                <w:rStyle w:val="FontStyle28"/>
                <w:sz w:val="20"/>
                <w:szCs w:val="20"/>
              </w:rPr>
              <w:t>0/31,5 mm</w:t>
            </w:r>
          </w:p>
        </w:tc>
      </w:tr>
      <w:tr w:rsidR="008954B0" w:rsidRPr="00227750" w:rsidTr="00686675">
        <w:trPr>
          <w:trHeight w:hRule="exact" w:val="900"/>
        </w:trPr>
        <w:tc>
          <w:tcPr>
            <w:tcW w:w="1505" w:type="pct"/>
            <w:vAlign w:val="center"/>
          </w:tcPr>
          <w:p w:rsidR="008954B0" w:rsidRPr="00227750" w:rsidRDefault="008954B0" w:rsidP="00917119">
            <w:pPr>
              <w:pStyle w:val="Style14"/>
              <w:widowControl/>
              <w:spacing w:line="227" w:lineRule="exact"/>
              <w:ind w:left="7" w:right="670" w:hanging="7"/>
              <w:jc w:val="left"/>
              <w:rPr>
                <w:rStyle w:val="FontStyle28"/>
                <w:sz w:val="20"/>
                <w:szCs w:val="20"/>
              </w:rPr>
            </w:pPr>
            <w:r w:rsidRPr="00227750">
              <w:rPr>
                <w:rStyle w:val="FontStyle28"/>
                <w:sz w:val="20"/>
                <w:szCs w:val="20"/>
              </w:rPr>
              <w:t>Maksymalna zawartość pyłów: Kat.</w:t>
            </w:r>
            <w:r>
              <w:rPr>
                <w:rStyle w:val="FontStyle28"/>
                <w:sz w:val="20"/>
                <w:szCs w:val="20"/>
              </w:rPr>
              <w:t xml:space="preserve"> </w:t>
            </w:r>
            <w:r w:rsidRPr="00227750">
              <w:rPr>
                <w:rStyle w:val="FontStyle28"/>
                <w:sz w:val="20"/>
                <w:szCs w:val="20"/>
              </w:rPr>
              <w:t>UF</w:t>
            </w:r>
          </w:p>
        </w:tc>
        <w:tc>
          <w:tcPr>
            <w:tcW w:w="704"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4.3.2</w:t>
            </w:r>
          </w:p>
        </w:tc>
        <w:tc>
          <w:tcPr>
            <w:tcW w:w="2791" w:type="pct"/>
            <w:vAlign w:val="center"/>
          </w:tcPr>
          <w:p w:rsidR="008954B0" w:rsidRPr="00227750" w:rsidRDefault="008954B0" w:rsidP="00917119">
            <w:pPr>
              <w:pStyle w:val="Style14"/>
              <w:widowControl/>
              <w:ind w:right="25" w:hanging="7"/>
              <w:jc w:val="left"/>
              <w:rPr>
                <w:rStyle w:val="FontStyle28"/>
                <w:sz w:val="20"/>
                <w:szCs w:val="20"/>
              </w:rPr>
            </w:pPr>
            <w:r w:rsidRPr="00227750">
              <w:rPr>
                <w:rStyle w:val="FontStyle28"/>
                <w:sz w:val="20"/>
                <w:szCs w:val="20"/>
              </w:rPr>
              <w:t xml:space="preserve">Kat. </w:t>
            </w:r>
            <w:r w:rsidRPr="00227750">
              <w:rPr>
                <w:rStyle w:val="FontStyle35"/>
                <w:rFonts w:ascii="Times New Roman" w:hAnsi="Times New Roman" w:cs="Times New Roman"/>
                <w:sz w:val="20"/>
                <w:szCs w:val="20"/>
              </w:rPr>
              <w:t>UF</w:t>
            </w:r>
            <w:r w:rsidR="00744E74">
              <w:rPr>
                <w:rStyle w:val="FontStyle35"/>
                <w:rFonts w:ascii="Times New Roman" w:hAnsi="Times New Roman" w:cs="Times New Roman"/>
                <w:sz w:val="20"/>
                <w:szCs w:val="20"/>
              </w:rPr>
              <w:t>9</w:t>
            </w:r>
            <w:r w:rsidRPr="00227750">
              <w:rPr>
                <w:rStyle w:val="FontStyle35"/>
                <w:rFonts w:ascii="Times New Roman" w:hAnsi="Times New Roman" w:cs="Times New Roman"/>
                <w:sz w:val="20"/>
                <w:szCs w:val="20"/>
              </w:rPr>
              <w:t xml:space="preserve"> </w:t>
            </w:r>
            <w:r w:rsidRPr="00227750">
              <w:rPr>
                <w:rStyle w:val="FontStyle28"/>
                <w:sz w:val="20"/>
                <w:szCs w:val="20"/>
              </w:rPr>
              <w:t>(tj. masa frakcji przechodzącej przez sito 0,063 mm</w:t>
            </w:r>
          </w:p>
        </w:tc>
      </w:tr>
      <w:tr w:rsidR="008954B0" w:rsidRPr="00227750" w:rsidTr="00686675">
        <w:trPr>
          <w:trHeight w:hRule="exact" w:val="850"/>
        </w:trPr>
        <w:tc>
          <w:tcPr>
            <w:tcW w:w="1505" w:type="pct"/>
            <w:vAlign w:val="center"/>
          </w:tcPr>
          <w:p w:rsidR="008954B0" w:rsidRPr="00227750" w:rsidRDefault="008954B0" w:rsidP="00917119">
            <w:pPr>
              <w:pStyle w:val="Style14"/>
              <w:widowControl/>
              <w:spacing w:line="227" w:lineRule="exact"/>
              <w:ind w:left="7" w:right="832" w:hanging="4"/>
              <w:jc w:val="left"/>
              <w:rPr>
                <w:rStyle w:val="FontStyle28"/>
                <w:sz w:val="20"/>
                <w:szCs w:val="20"/>
              </w:rPr>
            </w:pPr>
            <w:r w:rsidRPr="00227750">
              <w:rPr>
                <w:rStyle w:val="FontStyle28"/>
                <w:sz w:val="20"/>
                <w:szCs w:val="20"/>
              </w:rPr>
              <w:t>Minimalna zawartość pyłów: Kat. LF</w:t>
            </w:r>
          </w:p>
        </w:tc>
        <w:tc>
          <w:tcPr>
            <w:tcW w:w="704"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4.3.2</w:t>
            </w:r>
          </w:p>
        </w:tc>
        <w:tc>
          <w:tcPr>
            <w:tcW w:w="2791" w:type="pct"/>
            <w:vAlign w:val="center"/>
          </w:tcPr>
          <w:p w:rsidR="008954B0" w:rsidRPr="00227750" w:rsidRDefault="008954B0" w:rsidP="00917119">
            <w:pPr>
              <w:pStyle w:val="Style14"/>
              <w:widowControl/>
              <w:ind w:right="25" w:hanging="7"/>
              <w:jc w:val="left"/>
              <w:rPr>
                <w:rStyle w:val="FontStyle28"/>
                <w:sz w:val="20"/>
                <w:szCs w:val="20"/>
              </w:rPr>
            </w:pPr>
            <w:r w:rsidRPr="00227750">
              <w:rPr>
                <w:rStyle w:val="FontStyle28"/>
                <w:sz w:val="20"/>
                <w:szCs w:val="20"/>
              </w:rPr>
              <w:t>Kat. LF</w:t>
            </w:r>
            <w:r>
              <w:rPr>
                <w:rStyle w:val="FontStyle28"/>
                <w:sz w:val="20"/>
                <w:szCs w:val="20"/>
                <w:vertAlign w:val="subscript"/>
              </w:rPr>
              <w:t>N</w:t>
            </w:r>
            <w:r>
              <w:rPr>
                <w:rStyle w:val="FontStyle28"/>
                <w:vertAlign w:val="subscript"/>
              </w:rPr>
              <w:t>R</w:t>
            </w:r>
            <w:r w:rsidRPr="00227750">
              <w:rPr>
                <w:rStyle w:val="FontStyle28"/>
                <w:sz w:val="20"/>
                <w:szCs w:val="20"/>
              </w:rPr>
              <w:t xml:space="preserve"> (tj. masa frakcji przechodzącej przez sito 0,063 mm</w:t>
            </w:r>
          </w:p>
        </w:tc>
      </w:tr>
      <w:tr w:rsidR="008954B0" w:rsidRPr="00227750" w:rsidTr="00686675">
        <w:trPr>
          <w:trHeight w:hRule="exact" w:val="702"/>
        </w:trPr>
        <w:tc>
          <w:tcPr>
            <w:tcW w:w="1505" w:type="pct"/>
            <w:vAlign w:val="center"/>
          </w:tcPr>
          <w:p w:rsidR="008954B0" w:rsidRPr="00227750" w:rsidRDefault="008954B0" w:rsidP="00917119">
            <w:pPr>
              <w:pStyle w:val="Style14"/>
              <w:widowControl/>
              <w:spacing w:line="227" w:lineRule="exact"/>
              <w:ind w:left="7" w:right="1444" w:hanging="7"/>
              <w:jc w:val="left"/>
              <w:rPr>
                <w:rStyle w:val="FontStyle28"/>
                <w:sz w:val="20"/>
                <w:szCs w:val="20"/>
              </w:rPr>
            </w:pPr>
            <w:r w:rsidRPr="00227750">
              <w:rPr>
                <w:rStyle w:val="FontStyle28"/>
                <w:sz w:val="20"/>
                <w:szCs w:val="20"/>
              </w:rPr>
              <w:t>Zawartość nadziarna: Kat.</w:t>
            </w:r>
            <w:r w:rsidR="00686675">
              <w:rPr>
                <w:rStyle w:val="FontStyle28"/>
                <w:sz w:val="20"/>
                <w:szCs w:val="20"/>
              </w:rPr>
              <w:t xml:space="preserve"> </w:t>
            </w:r>
            <w:r w:rsidRPr="00227750">
              <w:rPr>
                <w:rStyle w:val="FontStyle28"/>
                <w:sz w:val="20"/>
                <w:szCs w:val="20"/>
              </w:rPr>
              <w:t>OC</w:t>
            </w:r>
          </w:p>
        </w:tc>
        <w:tc>
          <w:tcPr>
            <w:tcW w:w="704"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4.3.3</w:t>
            </w:r>
          </w:p>
        </w:tc>
        <w:tc>
          <w:tcPr>
            <w:tcW w:w="2791" w:type="pct"/>
            <w:vAlign w:val="center"/>
          </w:tcPr>
          <w:p w:rsidR="008954B0" w:rsidRPr="00227750" w:rsidRDefault="008954B0" w:rsidP="00917119">
            <w:pPr>
              <w:pStyle w:val="Style14"/>
              <w:widowControl/>
              <w:spacing w:line="227" w:lineRule="exact"/>
              <w:ind w:right="4" w:hanging="7"/>
              <w:jc w:val="left"/>
              <w:rPr>
                <w:rStyle w:val="FontStyle28"/>
                <w:sz w:val="20"/>
                <w:szCs w:val="20"/>
              </w:rPr>
            </w:pPr>
            <w:r w:rsidRPr="00227750">
              <w:rPr>
                <w:rStyle w:val="FontStyle28"/>
                <w:sz w:val="20"/>
                <w:szCs w:val="20"/>
              </w:rPr>
              <w:t>Kat. OC</w:t>
            </w:r>
            <w:r w:rsidRPr="00227750">
              <w:rPr>
                <w:rStyle w:val="FontStyle28"/>
                <w:sz w:val="20"/>
                <w:szCs w:val="20"/>
                <w:vertAlign w:val="subscript"/>
              </w:rPr>
              <w:t>90</w:t>
            </w:r>
            <w:r w:rsidRPr="00227750">
              <w:rPr>
                <w:rStyle w:val="FontStyle28"/>
                <w:sz w:val="20"/>
                <w:szCs w:val="20"/>
              </w:rPr>
              <w:t xml:space="preserve"> (tj. procent przechodzącej masy przez sito 1,4D powinien wynosić 100%, a przechodzącej przez sito D powinien wynosić 90-99%)</w:t>
            </w:r>
          </w:p>
        </w:tc>
      </w:tr>
      <w:tr w:rsidR="008954B0" w:rsidRPr="00227750" w:rsidTr="00686675">
        <w:trPr>
          <w:trHeight w:hRule="exact" w:val="292"/>
        </w:trPr>
        <w:tc>
          <w:tcPr>
            <w:tcW w:w="1505" w:type="pct"/>
            <w:vAlign w:val="center"/>
          </w:tcPr>
          <w:p w:rsidR="008954B0" w:rsidRPr="00227750" w:rsidRDefault="008954B0" w:rsidP="00917119">
            <w:pPr>
              <w:pStyle w:val="Style14"/>
              <w:widowControl/>
              <w:spacing w:line="240" w:lineRule="auto"/>
              <w:ind w:left="4"/>
              <w:jc w:val="left"/>
              <w:rPr>
                <w:rStyle w:val="FontStyle28"/>
                <w:sz w:val="20"/>
                <w:szCs w:val="20"/>
              </w:rPr>
            </w:pPr>
            <w:r w:rsidRPr="00227750">
              <w:rPr>
                <w:rStyle w:val="FontStyle28"/>
                <w:sz w:val="20"/>
                <w:szCs w:val="20"/>
              </w:rPr>
              <w:t>Wymagania wobec uziarnienia</w:t>
            </w:r>
          </w:p>
        </w:tc>
        <w:tc>
          <w:tcPr>
            <w:tcW w:w="704"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4.4.1</w:t>
            </w:r>
          </w:p>
        </w:tc>
        <w:tc>
          <w:tcPr>
            <w:tcW w:w="2791"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Krzywe graniczne uziarnienia według rys. 1</w:t>
            </w:r>
          </w:p>
        </w:tc>
      </w:tr>
      <w:tr w:rsidR="00EA7B0B" w:rsidRPr="00227750" w:rsidTr="00EA7B0B">
        <w:trPr>
          <w:trHeight w:hRule="exact" w:val="948"/>
        </w:trPr>
        <w:tc>
          <w:tcPr>
            <w:tcW w:w="1505" w:type="pct"/>
            <w:vAlign w:val="center"/>
          </w:tcPr>
          <w:p w:rsidR="00EA7B0B" w:rsidRPr="00227750" w:rsidRDefault="00EA7B0B" w:rsidP="00917119">
            <w:pPr>
              <w:pStyle w:val="Style14"/>
              <w:widowControl/>
              <w:spacing w:line="240" w:lineRule="auto"/>
              <w:ind w:left="4"/>
              <w:jc w:val="left"/>
              <w:rPr>
                <w:rStyle w:val="FontStyle28"/>
                <w:sz w:val="20"/>
                <w:szCs w:val="20"/>
              </w:rPr>
            </w:pPr>
            <w:r>
              <w:rPr>
                <w:rStyle w:val="FontStyle28"/>
                <w:sz w:val="20"/>
                <w:szCs w:val="20"/>
              </w:rPr>
              <w:t>Wymagania wobec jednorodności uziarnienia poszczególnych partii – porównanie do deklaracji Producenta (S)</w:t>
            </w:r>
          </w:p>
        </w:tc>
        <w:tc>
          <w:tcPr>
            <w:tcW w:w="704" w:type="pct"/>
            <w:vAlign w:val="center"/>
          </w:tcPr>
          <w:p w:rsidR="00EA7B0B" w:rsidRPr="00227750" w:rsidRDefault="00EA7B0B" w:rsidP="00917119">
            <w:pPr>
              <w:pStyle w:val="Style14"/>
              <w:widowControl/>
              <w:spacing w:line="240" w:lineRule="auto"/>
              <w:jc w:val="left"/>
              <w:rPr>
                <w:rStyle w:val="FontStyle28"/>
                <w:sz w:val="20"/>
                <w:szCs w:val="20"/>
              </w:rPr>
            </w:pPr>
            <w:r>
              <w:rPr>
                <w:rStyle w:val="FontStyle28"/>
                <w:sz w:val="20"/>
                <w:szCs w:val="20"/>
              </w:rPr>
              <w:t>4.4.2</w:t>
            </w:r>
          </w:p>
        </w:tc>
        <w:tc>
          <w:tcPr>
            <w:tcW w:w="2791" w:type="pct"/>
            <w:vAlign w:val="center"/>
          </w:tcPr>
          <w:p w:rsidR="00EA7B0B" w:rsidRPr="00227750" w:rsidRDefault="00EA7B0B" w:rsidP="00917119">
            <w:pPr>
              <w:pStyle w:val="Style14"/>
              <w:widowControl/>
              <w:spacing w:line="240" w:lineRule="auto"/>
              <w:jc w:val="left"/>
              <w:rPr>
                <w:rStyle w:val="FontStyle28"/>
                <w:sz w:val="20"/>
                <w:szCs w:val="20"/>
              </w:rPr>
            </w:pPr>
            <w:r>
              <w:rPr>
                <w:rStyle w:val="FontStyle28"/>
                <w:sz w:val="20"/>
                <w:szCs w:val="20"/>
              </w:rPr>
              <w:t>Tablica 2 WT 4 2010</w:t>
            </w:r>
          </w:p>
        </w:tc>
      </w:tr>
      <w:tr w:rsidR="00EA7B0B" w:rsidRPr="00227750" w:rsidTr="00EA7B0B">
        <w:trPr>
          <w:trHeight w:hRule="exact" w:val="948"/>
        </w:trPr>
        <w:tc>
          <w:tcPr>
            <w:tcW w:w="1505" w:type="pct"/>
            <w:vAlign w:val="center"/>
          </w:tcPr>
          <w:p w:rsidR="00EA7B0B" w:rsidRDefault="00EA7B0B" w:rsidP="00917119">
            <w:pPr>
              <w:pStyle w:val="Style14"/>
              <w:widowControl/>
              <w:spacing w:line="240" w:lineRule="auto"/>
              <w:ind w:left="4"/>
              <w:jc w:val="left"/>
              <w:rPr>
                <w:rStyle w:val="FontStyle28"/>
                <w:sz w:val="20"/>
                <w:szCs w:val="20"/>
              </w:rPr>
            </w:pPr>
            <w:r>
              <w:rPr>
                <w:rStyle w:val="FontStyle28"/>
                <w:sz w:val="20"/>
                <w:szCs w:val="20"/>
              </w:rPr>
              <w:t>Wymagania wobec jednorodności uziarnienia na sitach kontrolnych – różnice w przesiewach</w:t>
            </w:r>
          </w:p>
        </w:tc>
        <w:tc>
          <w:tcPr>
            <w:tcW w:w="704" w:type="pct"/>
            <w:vAlign w:val="center"/>
          </w:tcPr>
          <w:p w:rsidR="00EA7B0B" w:rsidRDefault="00EA7B0B" w:rsidP="00917119">
            <w:pPr>
              <w:pStyle w:val="Style14"/>
              <w:widowControl/>
              <w:spacing w:line="240" w:lineRule="auto"/>
              <w:jc w:val="left"/>
              <w:rPr>
                <w:rStyle w:val="FontStyle28"/>
                <w:sz w:val="20"/>
                <w:szCs w:val="20"/>
              </w:rPr>
            </w:pPr>
            <w:r>
              <w:rPr>
                <w:rStyle w:val="FontStyle28"/>
                <w:sz w:val="20"/>
                <w:szCs w:val="20"/>
              </w:rPr>
              <w:t>4.4.2</w:t>
            </w:r>
          </w:p>
        </w:tc>
        <w:tc>
          <w:tcPr>
            <w:tcW w:w="2791" w:type="pct"/>
            <w:vAlign w:val="center"/>
          </w:tcPr>
          <w:p w:rsidR="00EA7B0B" w:rsidRDefault="00EA7B0B" w:rsidP="00917119">
            <w:pPr>
              <w:pStyle w:val="Style14"/>
              <w:widowControl/>
              <w:spacing w:line="240" w:lineRule="auto"/>
              <w:jc w:val="left"/>
              <w:rPr>
                <w:rStyle w:val="FontStyle28"/>
                <w:sz w:val="20"/>
                <w:szCs w:val="20"/>
              </w:rPr>
            </w:pPr>
            <w:r>
              <w:rPr>
                <w:rStyle w:val="FontStyle28"/>
                <w:sz w:val="20"/>
                <w:szCs w:val="20"/>
              </w:rPr>
              <w:t>Tablica 3 WT 4 2010</w:t>
            </w:r>
          </w:p>
        </w:tc>
      </w:tr>
      <w:tr w:rsidR="008954B0" w:rsidRPr="00227750" w:rsidTr="00686675">
        <w:trPr>
          <w:trHeight w:hRule="exact" w:val="762"/>
        </w:trPr>
        <w:tc>
          <w:tcPr>
            <w:tcW w:w="1505" w:type="pct"/>
            <w:vAlign w:val="center"/>
          </w:tcPr>
          <w:p w:rsidR="008954B0" w:rsidRPr="00227750" w:rsidRDefault="008954B0" w:rsidP="00917119">
            <w:pPr>
              <w:pStyle w:val="Style14"/>
              <w:widowControl/>
              <w:spacing w:line="227" w:lineRule="exact"/>
              <w:ind w:left="7" w:right="623" w:firstLine="4"/>
              <w:jc w:val="left"/>
              <w:rPr>
                <w:rStyle w:val="FontStyle28"/>
                <w:sz w:val="20"/>
                <w:szCs w:val="20"/>
              </w:rPr>
            </w:pPr>
            <w:r w:rsidRPr="00227750">
              <w:rPr>
                <w:rStyle w:val="FontStyle28"/>
                <w:sz w:val="20"/>
                <w:szCs w:val="20"/>
              </w:rPr>
              <w:t>Wrażliwość na mróz; wskaźnik piaskowy SE</w:t>
            </w:r>
            <w:r>
              <w:rPr>
                <w:rStyle w:val="FontStyle28"/>
                <w:sz w:val="20"/>
                <w:szCs w:val="20"/>
              </w:rPr>
              <w:t xml:space="preserve"> -</w:t>
            </w:r>
            <w:r w:rsidRPr="00227750">
              <w:rPr>
                <w:rStyle w:val="FontStyle28"/>
                <w:sz w:val="20"/>
                <w:szCs w:val="20"/>
              </w:rPr>
              <w:t xml:space="preserve"> co najmniej</w:t>
            </w:r>
          </w:p>
        </w:tc>
        <w:tc>
          <w:tcPr>
            <w:tcW w:w="704"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4.5</w:t>
            </w:r>
          </w:p>
        </w:tc>
        <w:tc>
          <w:tcPr>
            <w:tcW w:w="2791" w:type="pct"/>
            <w:vAlign w:val="center"/>
          </w:tcPr>
          <w:p w:rsidR="008954B0" w:rsidRPr="00227750" w:rsidRDefault="008705DC" w:rsidP="00917119">
            <w:pPr>
              <w:pStyle w:val="Style14"/>
              <w:widowControl/>
              <w:spacing w:line="240" w:lineRule="auto"/>
              <w:jc w:val="left"/>
              <w:rPr>
                <w:rStyle w:val="FontStyle28"/>
                <w:sz w:val="20"/>
                <w:szCs w:val="20"/>
              </w:rPr>
            </w:pPr>
            <w:r>
              <w:rPr>
                <w:rStyle w:val="FontStyle28"/>
                <w:sz w:val="20"/>
                <w:szCs w:val="20"/>
              </w:rPr>
              <w:t>45</w:t>
            </w:r>
          </w:p>
        </w:tc>
      </w:tr>
      <w:tr w:rsidR="008954B0" w:rsidRPr="00227750" w:rsidTr="00686675">
        <w:trPr>
          <w:trHeight w:hRule="exact" w:val="1000"/>
        </w:trPr>
        <w:tc>
          <w:tcPr>
            <w:tcW w:w="1505" w:type="pct"/>
            <w:vAlign w:val="center"/>
          </w:tcPr>
          <w:p w:rsidR="008954B0" w:rsidRPr="00227750" w:rsidRDefault="008954B0" w:rsidP="00917119">
            <w:pPr>
              <w:pStyle w:val="Style14"/>
              <w:widowControl/>
              <w:spacing w:line="227" w:lineRule="exact"/>
              <w:ind w:left="7" w:firstLine="7"/>
              <w:jc w:val="left"/>
              <w:rPr>
                <w:rStyle w:val="FontStyle28"/>
                <w:sz w:val="20"/>
                <w:szCs w:val="20"/>
              </w:rPr>
            </w:pPr>
            <w:r w:rsidRPr="00227750">
              <w:rPr>
                <w:rStyle w:val="FontStyle28"/>
                <w:sz w:val="20"/>
                <w:szCs w:val="20"/>
              </w:rPr>
              <w:t>Odporność na rozdrabnianie (dotyczy frakcji</w:t>
            </w:r>
            <w:r>
              <w:rPr>
                <w:rStyle w:val="FontStyle28"/>
                <w:sz w:val="20"/>
                <w:szCs w:val="20"/>
              </w:rPr>
              <w:t xml:space="preserve"> </w:t>
            </w:r>
            <w:r w:rsidRPr="00227750">
              <w:rPr>
                <w:rStyle w:val="FontStyle28"/>
                <w:sz w:val="20"/>
                <w:szCs w:val="20"/>
              </w:rPr>
              <w:t>10/14 mm odsianej z mieszanki) wg PN-EN 1097-1, kat. nie wyższa niż</w:t>
            </w:r>
          </w:p>
        </w:tc>
        <w:tc>
          <w:tcPr>
            <w:tcW w:w="704" w:type="pct"/>
            <w:vAlign w:val="center"/>
          </w:tcPr>
          <w:p w:rsidR="008954B0" w:rsidRPr="00227750" w:rsidRDefault="008954B0" w:rsidP="00917119">
            <w:pPr>
              <w:pStyle w:val="Style18"/>
              <w:widowControl/>
              <w:rPr>
                <w:sz w:val="20"/>
                <w:szCs w:val="20"/>
              </w:rPr>
            </w:pPr>
          </w:p>
        </w:tc>
        <w:tc>
          <w:tcPr>
            <w:tcW w:w="2791"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Kat. LA</w:t>
            </w:r>
            <w:r w:rsidR="00744E74">
              <w:rPr>
                <w:rStyle w:val="FontStyle28"/>
                <w:sz w:val="20"/>
                <w:szCs w:val="20"/>
                <w:vertAlign w:val="subscript"/>
              </w:rPr>
              <w:t>35</w:t>
            </w:r>
          </w:p>
        </w:tc>
      </w:tr>
      <w:tr w:rsidR="008954B0" w:rsidRPr="00227750" w:rsidTr="00686675">
        <w:trPr>
          <w:trHeight w:hRule="exact" w:val="1000"/>
        </w:trPr>
        <w:tc>
          <w:tcPr>
            <w:tcW w:w="1505" w:type="pct"/>
            <w:vAlign w:val="center"/>
          </w:tcPr>
          <w:p w:rsidR="008954B0" w:rsidRPr="00227750" w:rsidRDefault="008954B0" w:rsidP="00917119">
            <w:pPr>
              <w:pStyle w:val="Style14"/>
              <w:widowControl/>
              <w:spacing w:line="227" w:lineRule="exact"/>
              <w:ind w:left="11" w:right="47" w:firstLine="11"/>
              <w:jc w:val="left"/>
              <w:rPr>
                <w:rStyle w:val="FontStyle28"/>
                <w:sz w:val="20"/>
                <w:szCs w:val="20"/>
                <w:vertAlign w:val="subscript"/>
              </w:rPr>
            </w:pPr>
            <w:r w:rsidRPr="00227750">
              <w:rPr>
                <w:rStyle w:val="FontStyle28"/>
                <w:sz w:val="20"/>
                <w:szCs w:val="20"/>
              </w:rPr>
              <w:t>Odporność na ścieranie (dotyczy frakcji 10/14 mm odsianej z mieszanki) wg PN-EN 1097-1, kat. M</w:t>
            </w:r>
            <w:r w:rsidRPr="00227750">
              <w:rPr>
                <w:rStyle w:val="FontStyle28"/>
                <w:sz w:val="20"/>
                <w:szCs w:val="20"/>
                <w:vertAlign w:val="subscript"/>
              </w:rPr>
              <w:t>DE</w:t>
            </w:r>
          </w:p>
        </w:tc>
        <w:tc>
          <w:tcPr>
            <w:tcW w:w="704" w:type="pct"/>
            <w:vAlign w:val="center"/>
          </w:tcPr>
          <w:p w:rsidR="008954B0" w:rsidRPr="00227750" w:rsidRDefault="008954B0" w:rsidP="00917119">
            <w:pPr>
              <w:pStyle w:val="Style18"/>
              <w:widowControl/>
              <w:rPr>
                <w:sz w:val="20"/>
                <w:szCs w:val="20"/>
              </w:rPr>
            </w:pPr>
          </w:p>
        </w:tc>
        <w:tc>
          <w:tcPr>
            <w:tcW w:w="2791"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Deklarowana</w:t>
            </w:r>
          </w:p>
        </w:tc>
      </w:tr>
      <w:tr w:rsidR="008954B0" w:rsidRPr="00227750" w:rsidTr="00686675">
        <w:trPr>
          <w:trHeight w:hRule="exact" w:val="830"/>
        </w:trPr>
        <w:tc>
          <w:tcPr>
            <w:tcW w:w="1505" w:type="pct"/>
            <w:vAlign w:val="center"/>
          </w:tcPr>
          <w:p w:rsidR="008954B0" w:rsidRPr="00227750" w:rsidRDefault="008954B0" w:rsidP="00917119">
            <w:pPr>
              <w:pStyle w:val="Style14"/>
              <w:widowControl/>
              <w:spacing w:line="227" w:lineRule="exact"/>
              <w:ind w:left="11" w:right="47" w:firstLine="11"/>
              <w:jc w:val="left"/>
              <w:rPr>
                <w:rStyle w:val="FontStyle28"/>
                <w:sz w:val="20"/>
                <w:szCs w:val="20"/>
              </w:rPr>
            </w:pPr>
            <w:r w:rsidRPr="00227750">
              <w:rPr>
                <w:rStyle w:val="FontStyle28"/>
                <w:sz w:val="20"/>
                <w:szCs w:val="20"/>
              </w:rPr>
              <w:lastRenderedPageBreak/>
              <w:t>Mrozoodporność (dotyczy frakcji kruszywa 8/16 mm odsianej z mieszanki) wg PN-EN 1367-1</w:t>
            </w:r>
          </w:p>
        </w:tc>
        <w:tc>
          <w:tcPr>
            <w:tcW w:w="704" w:type="pct"/>
            <w:vAlign w:val="center"/>
          </w:tcPr>
          <w:p w:rsidR="008954B0" w:rsidRPr="00227750" w:rsidRDefault="008954B0" w:rsidP="00917119">
            <w:pPr>
              <w:pStyle w:val="Style18"/>
              <w:widowControl/>
              <w:rPr>
                <w:sz w:val="20"/>
                <w:szCs w:val="20"/>
              </w:rPr>
            </w:pPr>
          </w:p>
        </w:tc>
        <w:tc>
          <w:tcPr>
            <w:tcW w:w="2791"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Kat. F</w:t>
            </w:r>
            <w:r w:rsidR="00744E74">
              <w:rPr>
                <w:rStyle w:val="FontStyle28"/>
                <w:sz w:val="20"/>
                <w:szCs w:val="20"/>
              </w:rPr>
              <w:t>4</w:t>
            </w:r>
            <w:r>
              <w:rPr>
                <w:rStyle w:val="FontStyle28"/>
                <w:sz w:val="20"/>
                <w:szCs w:val="20"/>
              </w:rPr>
              <w:br/>
            </w:r>
            <w:r w:rsidRPr="00227750">
              <w:rPr>
                <w:rStyle w:val="FontStyle28"/>
                <w:sz w:val="20"/>
                <w:szCs w:val="20"/>
              </w:rPr>
              <w:t>(tj. zamrażanie-rozmrażanie, procent masy &lt; 4)</w:t>
            </w:r>
          </w:p>
        </w:tc>
      </w:tr>
      <w:tr w:rsidR="008954B0" w:rsidRPr="00227750" w:rsidTr="00686675">
        <w:trPr>
          <w:trHeight w:hRule="exact" w:val="999"/>
        </w:trPr>
        <w:tc>
          <w:tcPr>
            <w:tcW w:w="1505" w:type="pct"/>
            <w:vAlign w:val="center"/>
          </w:tcPr>
          <w:p w:rsidR="008954B0" w:rsidRPr="00227750" w:rsidRDefault="008954B0" w:rsidP="00917119">
            <w:pPr>
              <w:pStyle w:val="Style14"/>
              <w:widowControl/>
              <w:spacing w:line="227" w:lineRule="exact"/>
              <w:ind w:left="11" w:right="47" w:firstLine="11"/>
              <w:jc w:val="left"/>
              <w:rPr>
                <w:rStyle w:val="FontStyle28"/>
                <w:sz w:val="20"/>
                <w:szCs w:val="20"/>
              </w:rPr>
            </w:pPr>
            <w:r w:rsidRPr="00227750">
              <w:rPr>
                <w:rStyle w:val="FontStyle28"/>
                <w:sz w:val="20"/>
                <w:szCs w:val="20"/>
              </w:rPr>
              <w:t>Wartość CBR po zagęszczeniu do wskaźnika zagęszczenia IS=1,0 i moczeniu w wodzie 96 h, co najmniej</w:t>
            </w:r>
          </w:p>
        </w:tc>
        <w:tc>
          <w:tcPr>
            <w:tcW w:w="704" w:type="pct"/>
            <w:vAlign w:val="center"/>
          </w:tcPr>
          <w:p w:rsidR="008954B0" w:rsidRPr="00227750" w:rsidRDefault="008954B0" w:rsidP="00917119">
            <w:pPr>
              <w:pStyle w:val="Style18"/>
              <w:widowControl/>
              <w:rPr>
                <w:sz w:val="20"/>
                <w:szCs w:val="20"/>
              </w:rPr>
            </w:pPr>
          </w:p>
        </w:tc>
        <w:tc>
          <w:tcPr>
            <w:tcW w:w="2791" w:type="pct"/>
            <w:vAlign w:val="center"/>
          </w:tcPr>
          <w:p w:rsidR="008954B0" w:rsidRPr="00EF5DF7" w:rsidRDefault="002B63BD" w:rsidP="00917119">
            <w:pPr>
              <w:pStyle w:val="Style14"/>
              <w:widowControl/>
              <w:spacing w:line="240" w:lineRule="auto"/>
              <w:jc w:val="left"/>
              <w:rPr>
                <w:rFonts w:eastAsia="CenturyGothic"/>
              </w:rPr>
            </w:pPr>
            <w:r>
              <w:rPr>
                <w:rStyle w:val="FontStyle28"/>
                <w:sz w:val="20"/>
                <w:szCs w:val="20"/>
              </w:rPr>
              <w:t xml:space="preserve">≥ </w:t>
            </w:r>
            <w:r w:rsidR="00C37DE5">
              <w:rPr>
                <w:rStyle w:val="FontStyle28"/>
                <w:sz w:val="20"/>
                <w:szCs w:val="20"/>
              </w:rPr>
              <w:t>8</w:t>
            </w:r>
            <w:r>
              <w:rPr>
                <w:rStyle w:val="FontStyle28"/>
                <w:sz w:val="20"/>
                <w:szCs w:val="20"/>
              </w:rPr>
              <w:t>0</w:t>
            </w:r>
          </w:p>
        </w:tc>
      </w:tr>
      <w:tr w:rsidR="008954B0" w:rsidRPr="00227750" w:rsidTr="00686675">
        <w:trPr>
          <w:trHeight w:hRule="exact" w:val="1000"/>
        </w:trPr>
        <w:tc>
          <w:tcPr>
            <w:tcW w:w="1505" w:type="pct"/>
            <w:vAlign w:val="center"/>
          </w:tcPr>
          <w:p w:rsidR="008954B0" w:rsidRPr="00227750" w:rsidRDefault="008954B0" w:rsidP="00917119">
            <w:pPr>
              <w:pStyle w:val="Style14"/>
              <w:widowControl/>
              <w:spacing w:line="227" w:lineRule="exact"/>
              <w:ind w:left="11" w:right="47" w:firstLine="11"/>
              <w:jc w:val="left"/>
              <w:rPr>
                <w:rStyle w:val="FontStyle28"/>
                <w:sz w:val="20"/>
                <w:szCs w:val="20"/>
              </w:rPr>
            </w:pPr>
            <w:r w:rsidRPr="00227750">
              <w:rPr>
                <w:rStyle w:val="FontStyle28"/>
                <w:sz w:val="20"/>
                <w:szCs w:val="20"/>
              </w:rPr>
              <w:t>Zawartość wody w mieszance zagęszczanej; % (m/m) wilgotności optymalnej wg metody Proctora</w:t>
            </w:r>
          </w:p>
        </w:tc>
        <w:tc>
          <w:tcPr>
            <w:tcW w:w="704" w:type="pct"/>
            <w:vAlign w:val="center"/>
          </w:tcPr>
          <w:p w:rsidR="008954B0" w:rsidRPr="00227750" w:rsidRDefault="008954B0" w:rsidP="00917119">
            <w:pPr>
              <w:pStyle w:val="Style18"/>
              <w:widowControl/>
              <w:rPr>
                <w:sz w:val="20"/>
                <w:szCs w:val="20"/>
              </w:rPr>
            </w:pPr>
          </w:p>
        </w:tc>
        <w:tc>
          <w:tcPr>
            <w:tcW w:w="2791" w:type="pct"/>
            <w:vAlign w:val="center"/>
          </w:tcPr>
          <w:p w:rsidR="008954B0" w:rsidRPr="00227750" w:rsidRDefault="008954B0" w:rsidP="00917119">
            <w:pPr>
              <w:pStyle w:val="Style14"/>
              <w:widowControl/>
              <w:spacing w:line="240" w:lineRule="auto"/>
              <w:jc w:val="left"/>
              <w:rPr>
                <w:rStyle w:val="FontStyle28"/>
                <w:sz w:val="20"/>
                <w:szCs w:val="20"/>
              </w:rPr>
            </w:pPr>
            <w:r w:rsidRPr="00227750">
              <w:rPr>
                <w:rStyle w:val="FontStyle28"/>
                <w:sz w:val="20"/>
                <w:szCs w:val="20"/>
              </w:rPr>
              <w:t>80-100</w:t>
            </w:r>
          </w:p>
        </w:tc>
      </w:tr>
      <w:tr w:rsidR="008954B0" w:rsidRPr="00227750" w:rsidTr="00686675">
        <w:trPr>
          <w:trHeight w:hRule="exact" w:val="1708"/>
        </w:trPr>
        <w:tc>
          <w:tcPr>
            <w:tcW w:w="1505" w:type="pct"/>
            <w:vAlign w:val="center"/>
          </w:tcPr>
          <w:p w:rsidR="008954B0" w:rsidRPr="00227750" w:rsidRDefault="008954B0" w:rsidP="00917119">
            <w:pPr>
              <w:pStyle w:val="Style14"/>
              <w:widowControl/>
              <w:spacing w:line="227" w:lineRule="exact"/>
              <w:ind w:left="11" w:right="47" w:firstLine="11"/>
              <w:jc w:val="left"/>
              <w:rPr>
                <w:rStyle w:val="FontStyle28"/>
                <w:sz w:val="20"/>
                <w:szCs w:val="20"/>
              </w:rPr>
            </w:pPr>
            <w:r w:rsidRPr="00227750">
              <w:rPr>
                <w:rStyle w:val="FontStyle28"/>
                <w:sz w:val="20"/>
                <w:szCs w:val="20"/>
              </w:rPr>
              <w:t>Inne cechy środowiskowe</w:t>
            </w:r>
          </w:p>
        </w:tc>
        <w:tc>
          <w:tcPr>
            <w:tcW w:w="704" w:type="pct"/>
            <w:vAlign w:val="center"/>
          </w:tcPr>
          <w:p w:rsidR="008954B0" w:rsidRPr="00227750" w:rsidRDefault="008954B0" w:rsidP="00917119">
            <w:pPr>
              <w:pStyle w:val="Style18"/>
              <w:rPr>
                <w:rStyle w:val="FontStyle28"/>
                <w:sz w:val="20"/>
                <w:szCs w:val="20"/>
              </w:rPr>
            </w:pPr>
            <w:r w:rsidRPr="00227750">
              <w:rPr>
                <w:rStyle w:val="FontStyle28"/>
                <w:sz w:val="20"/>
                <w:szCs w:val="20"/>
              </w:rPr>
              <w:t>4.5</w:t>
            </w:r>
          </w:p>
        </w:tc>
        <w:tc>
          <w:tcPr>
            <w:tcW w:w="2791" w:type="pct"/>
            <w:vAlign w:val="center"/>
          </w:tcPr>
          <w:p w:rsidR="008954B0" w:rsidRPr="00227750" w:rsidRDefault="008954B0" w:rsidP="00917119">
            <w:pPr>
              <w:pStyle w:val="Style14"/>
              <w:spacing w:line="240" w:lineRule="auto"/>
              <w:jc w:val="left"/>
              <w:rPr>
                <w:rStyle w:val="FontStyle28"/>
                <w:sz w:val="20"/>
                <w:szCs w:val="20"/>
              </w:rPr>
            </w:pPr>
            <w:r w:rsidRPr="00227750">
              <w:rPr>
                <w:rStyle w:val="FontStyle28"/>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9E7B8A" w:rsidRPr="00227750" w:rsidRDefault="009E7B8A" w:rsidP="00917119">
      <w:pPr>
        <w:jc w:val="left"/>
      </w:pPr>
    </w:p>
    <w:p w:rsidR="007C3D00" w:rsidRPr="00635AA5" w:rsidRDefault="007C3D00" w:rsidP="00917119">
      <w:pPr>
        <w:pStyle w:val="Nagwek2"/>
      </w:pPr>
      <w:r w:rsidRPr="00B600C2">
        <w:t>5.3. Wytwarzanie mieszanki kruszywa</w:t>
      </w:r>
    </w:p>
    <w:p w:rsidR="007C3D00" w:rsidRPr="00B600C2" w:rsidRDefault="007C3D00" w:rsidP="00917119">
      <w:pPr>
        <w:jc w:val="left"/>
      </w:pPr>
      <w:r w:rsidRPr="00B600C2">
        <w:t xml:space="preserve">Mieszankę kruszywa o uziarnieniu zgodnym z projektowaną krzywą uziarnienia i wilgotności optymalnej należy wytwarzać w mieszarkach stacjonarnych gwarantujących otrzymanie jednorodnej mieszanki. Za zgodą Inżyniera dopuszcza się stosowanie mieszanek dostarczanych bezpośrednio od producenta. Ze względu na konieczność zapewnienia jednorodności materiału nie dopuszcza się do wytwarzania mieszanki przez mieszanie poszczególnych frakcji na drodze. Mieszanka po wyprodukowaniu powinna być od razu transportowana na miejsce wbudowania </w:t>
      </w:r>
      <w:r w:rsidR="00932E02">
        <w:br/>
      </w:r>
      <w:r w:rsidRPr="00B600C2">
        <w:t>w sposób przeciwdziałający segregacji i nadmiernemu wysychaniu.</w:t>
      </w:r>
    </w:p>
    <w:p w:rsidR="007C3D00" w:rsidRPr="00B600C2" w:rsidRDefault="007C3D00" w:rsidP="00917119">
      <w:pPr>
        <w:pStyle w:val="Nagwek2"/>
      </w:pPr>
      <w:r w:rsidRPr="00B600C2">
        <w:t xml:space="preserve">5.4. </w:t>
      </w:r>
      <w:r w:rsidRPr="00635AA5">
        <w:t>Wbudowywanie</w:t>
      </w:r>
      <w:r w:rsidRPr="00B600C2">
        <w:t xml:space="preserve"> i zagęszczanie mieszanki</w:t>
      </w:r>
    </w:p>
    <w:p w:rsidR="00F5148B" w:rsidRPr="00F5148B" w:rsidRDefault="00F5148B" w:rsidP="00917119">
      <w:pPr>
        <w:pStyle w:val="Akapitzlist"/>
        <w:ind w:left="0"/>
        <w:jc w:val="left"/>
      </w:pPr>
      <w:r w:rsidRPr="00F5148B">
        <w:t xml:space="preserve">Kruszywo powinno być rozkładane w warstwie o jednakowej grubości, przy użyciu równiarki z zachowaniem wymaganych spadków i rzędnych wysokościowych. Grubość rozłożonej warstwy luźnego kruszywa powinna być taka, aby po jej zagęszczeniu osiągnięto grubość projektową. W miejscach, gdzie widoczna jest segregacja kruszywa należy przed zagęszczeniem wymienić kruszywo na materiał o odpowiednich właściwościach. </w:t>
      </w:r>
      <w:r w:rsidRPr="00F5148B">
        <w:rPr>
          <w:spacing w:val="-3"/>
        </w:rPr>
        <w:t>Natychmiast po końcowym profilowaniu warstwy uzupełniającej należy przystąpić do jej zagęszczania.</w:t>
      </w:r>
    </w:p>
    <w:p w:rsidR="00F5148B" w:rsidRPr="00F5148B" w:rsidRDefault="00F5148B" w:rsidP="00917119">
      <w:pPr>
        <w:numPr>
          <w:ilvl w:val="0"/>
          <w:numId w:val="0"/>
        </w:numPr>
        <w:suppressAutoHyphens/>
        <w:overflowPunct/>
        <w:ind w:firstLine="284"/>
        <w:jc w:val="left"/>
        <w:textAlignment w:val="auto"/>
        <w:rPr>
          <w:spacing w:val="-3"/>
          <w:kern w:val="0"/>
        </w:rPr>
      </w:pPr>
      <w:r w:rsidRPr="00F5148B">
        <w:rPr>
          <w:spacing w:val="-3"/>
          <w:kern w:val="0"/>
        </w:rPr>
        <w:t>Nierówności i zagłębienia powstałe w czasie zagęszczania powinny być wyrównywane na bieżąco przez spulchnienie warstwy kruszywa i dodanie bądź usunięcie materiału, aż do otrzymania równej powierzchni.</w:t>
      </w:r>
    </w:p>
    <w:p w:rsidR="007C3D00" w:rsidRPr="00B600C2" w:rsidRDefault="007C3D00" w:rsidP="00917119">
      <w:pPr>
        <w:jc w:val="left"/>
      </w:pPr>
      <w:r w:rsidRPr="00B600C2">
        <w:t>Wilgotność mieszanki kruszywa podczas zagęszczania powinna odpowiadać wilgotności optymalnej, określonej według próby Proctora,</w:t>
      </w:r>
      <w:r w:rsidRPr="003B31ED">
        <w:t xml:space="preserve"> </w:t>
      </w:r>
      <w:r w:rsidR="003B31ED" w:rsidRPr="003B31ED">
        <w:rPr>
          <w:rFonts w:eastAsia="CenturyGothic"/>
          <w:kern w:val="0"/>
        </w:rPr>
        <w:t>wg PN-EN 13286-</w:t>
      </w:r>
      <w:r w:rsidR="003B31ED" w:rsidRPr="00EF5DF7">
        <w:rPr>
          <w:rFonts w:eastAsia="CenturyGothic"/>
          <w:kern w:val="0"/>
        </w:rPr>
        <w:t xml:space="preserve">2 </w:t>
      </w:r>
      <w:r w:rsidR="006D67B2" w:rsidRPr="00EF5DF7">
        <w:rPr>
          <w:rFonts w:eastAsia="CenturyGothic"/>
          <w:kern w:val="0"/>
        </w:rPr>
        <w:t>i oznaczonej wg</w:t>
      </w:r>
      <w:r w:rsidR="003B31ED" w:rsidRPr="00EF5DF7">
        <w:rPr>
          <w:rFonts w:eastAsia="CenturyGothic"/>
          <w:kern w:val="0"/>
        </w:rPr>
        <w:t xml:space="preserve"> PN-EN 1097-</w:t>
      </w:r>
      <w:r w:rsidR="006D67B2" w:rsidRPr="00EF5DF7">
        <w:rPr>
          <w:rFonts w:eastAsia="CenturyGothic"/>
          <w:kern w:val="0"/>
        </w:rPr>
        <w:t>5</w:t>
      </w:r>
      <w:r w:rsidRPr="00EF5DF7">
        <w:t>.</w:t>
      </w:r>
      <w:r w:rsidRPr="00B600C2">
        <w:t xml:space="preserve"> Materiał nadmiernie nawilgocony, powinien zostać osuszony przez mieszanie i napowietrzanie. Jeżeli wilgotność mieszanki kruszywa jest niższa od optymalnej o </w:t>
      </w:r>
      <w:r>
        <w:t>5</w:t>
      </w:r>
      <w:r w:rsidRPr="00B600C2">
        <w:t xml:space="preserve">% jej wartości, mieszanka powinna być zwilżona określoną ilością wody i równomiernie wymieszana. W przypadku, gdy wilgotność mieszanki jest wyższa od optymalnej o </w:t>
      </w:r>
      <w:r>
        <w:t>5</w:t>
      </w:r>
      <w:r w:rsidRPr="00B600C2">
        <w:t>% jej wartości, mieszankę należy osuszyć.</w:t>
      </w:r>
    </w:p>
    <w:p w:rsidR="009F4BBE" w:rsidRPr="004129B5" w:rsidRDefault="00DC2FF7" w:rsidP="00917119">
      <w:pPr>
        <w:jc w:val="left"/>
        <w:rPr>
          <w:rFonts w:eastAsia="CenturyGothic"/>
          <w:kern w:val="0"/>
        </w:rPr>
      </w:pPr>
      <w:r>
        <w:rPr>
          <w:rFonts w:eastAsia="CenturyGothic"/>
          <w:kern w:val="0"/>
        </w:rPr>
        <w:t>Zag</w:t>
      </w:r>
      <w:r>
        <w:rPr>
          <w:rFonts w:eastAsia="CenturyGothic" w:hint="eastAsia"/>
          <w:kern w:val="0"/>
        </w:rPr>
        <w:t>ę</w:t>
      </w:r>
      <w:r>
        <w:rPr>
          <w:rFonts w:eastAsia="CenturyGothic"/>
          <w:kern w:val="0"/>
        </w:rPr>
        <w:t>szczenie nale</w:t>
      </w:r>
      <w:r>
        <w:rPr>
          <w:rFonts w:eastAsia="CenturyGothic" w:hint="eastAsia"/>
          <w:kern w:val="0"/>
        </w:rPr>
        <w:t>ż</w:t>
      </w:r>
      <w:r>
        <w:rPr>
          <w:rFonts w:eastAsia="CenturyGothic"/>
          <w:kern w:val="0"/>
        </w:rPr>
        <w:t>y kontynuowa</w:t>
      </w:r>
      <w:r>
        <w:rPr>
          <w:rFonts w:eastAsia="CenturyGothic" w:hint="eastAsia"/>
          <w:kern w:val="0"/>
        </w:rPr>
        <w:t>ć</w:t>
      </w:r>
      <w:r>
        <w:rPr>
          <w:rFonts w:eastAsia="CenturyGothic"/>
          <w:kern w:val="0"/>
        </w:rPr>
        <w:t xml:space="preserve"> do osi</w:t>
      </w:r>
      <w:r>
        <w:rPr>
          <w:rFonts w:eastAsia="CenturyGothic" w:hint="eastAsia"/>
          <w:kern w:val="0"/>
        </w:rPr>
        <w:t>ą</w:t>
      </w:r>
      <w:r>
        <w:rPr>
          <w:rFonts w:eastAsia="CenturyGothic"/>
          <w:kern w:val="0"/>
        </w:rPr>
        <w:t>gni</w:t>
      </w:r>
      <w:r>
        <w:rPr>
          <w:rFonts w:eastAsia="CenturyGothic" w:hint="eastAsia"/>
          <w:kern w:val="0"/>
        </w:rPr>
        <w:t>ę</w:t>
      </w:r>
      <w:r>
        <w:rPr>
          <w:rFonts w:eastAsia="CenturyGothic"/>
          <w:kern w:val="0"/>
        </w:rPr>
        <w:t>cia wska</w:t>
      </w:r>
      <w:r>
        <w:rPr>
          <w:rFonts w:eastAsia="CenturyGothic" w:hint="eastAsia"/>
          <w:kern w:val="0"/>
        </w:rPr>
        <w:t>ź</w:t>
      </w:r>
      <w:r>
        <w:rPr>
          <w:rFonts w:eastAsia="CenturyGothic"/>
          <w:kern w:val="0"/>
        </w:rPr>
        <w:t>nika zag</w:t>
      </w:r>
      <w:r>
        <w:rPr>
          <w:rFonts w:eastAsia="CenturyGothic" w:hint="eastAsia"/>
          <w:kern w:val="0"/>
        </w:rPr>
        <w:t>ę</w:t>
      </w:r>
      <w:r>
        <w:rPr>
          <w:rFonts w:eastAsia="CenturyGothic"/>
          <w:kern w:val="0"/>
        </w:rPr>
        <w:t>szczenia</w:t>
      </w:r>
      <w:r w:rsidR="008954B0">
        <w:rPr>
          <w:rFonts w:eastAsia="CenturyGothic"/>
          <w:kern w:val="0"/>
        </w:rPr>
        <w:t xml:space="preserve"> </w:t>
      </w:r>
      <w:r w:rsidR="009F4BBE" w:rsidRPr="004129B5">
        <w:rPr>
          <w:rFonts w:eastAsia="CenturyGothic"/>
          <w:kern w:val="0"/>
        </w:rPr>
        <w:t>dla nawierzchni na poboczach nie mniejsz</w:t>
      </w:r>
      <w:r w:rsidR="00F5148B">
        <w:rPr>
          <w:rFonts w:eastAsia="CenturyGothic"/>
          <w:kern w:val="0"/>
        </w:rPr>
        <w:t>y</w:t>
      </w:r>
      <w:r w:rsidR="009F4BBE" w:rsidRPr="004129B5">
        <w:rPr>
          <w:rFonts w:eastAsia="CenturyGothic"/>
          <w:kern w:val="0"/>
        </w:rPr>
        <w:t xml:space="preserve"> niż 0,97</w:t>
      </w:r>
      <w:r w:rsidR="008954B0">
        <w:rPr>
          <w:rFonts w:eastAsia="CenturyGothic"/>
          <w:kern w:val="0"/>
        </w:rPr>
        <w:t xml:space="preserve"> o</w:t>
      </w:r>
      <w:r>
        <w:rPr>
          <w:rFonts w:eastAsia="CenturyGothic"/>
          <w:kern w:val="0"/>
        </w:rPr>
        <w:t xml:space="preserve">znaczonego </w:t>
      </w:r>
      <w:r w:rsidRPr="00EF5DF7">
        <w:rPr>
          <w:rFonts w:eastAsia="CenturyGothic"/>
          <w:kern w:val="0"/>
        </w:rPr>
        <w:t xml:space="preserve">wg </w:t>
      </w:r>
      <w:r w:rsidRPr="00EF5DF7">
        <w:t>BN-77/8931-12</w:t>
      </w:r>
      <w:r>
        <w:rPr>
          <w:rFonts w:eastAsia="CenturyGothic"/>
          <w:kern w:val="0"/>
        </w:rPr>
        <w:t xml:space="preserve"> lub </w:t>
      </w:r>
      <w:r w:rsidRPr="0001545B">
        <w:rPr>
          <w:rFonts w:eastAsia="CenturyGothic"/>
          <w:kern w:val="0"/>
        </w:rPr>
        <w:t xml:space="preserve">wg </w:t>
      </w:r>
      <w:r w:rsidR="00024412" w:rsidRPr="0001545B">
        <w:rPr>
          <w:rFonts w:eastAsia="CenturyGothic"/>
          <w:kern w:val="0"/>
        </w:rPr>
        <w:t>PN-S-02205:1998</w:t>
      </w:r>
      <w:r w:rsidRPr="0001545B">
        <w:rPr>
          <w:rFonts w:eastAsia="CenturyGothic"/>
          <w:kern w:val="0"/>
        </w:rPr>
        <w:t xml:space="preserve"> j</w:t>
      </w:r>
      <w:r>
        <w:rPr>
          <w:rFonts w:eastAsia="CenturyGothic"/>
          <w:kern w:val="0"/>
        </w:rPr>
        <w:t>ako stosunek modu</w:t>
      </w:r>
      <w:r>
        <w:rPr>
          <w:rFonts w:eastAsia="CenturyGothic" w:hint="eastAsia"/>
          <w:kern w:val="0"/>
        </w:rPr>
        <w:t>ł</w:t>
      </w:r>
      <w:r>
        <w:rPr>
          <w:rFonts w:eastAsia="CenturyGothic"/>
          <w:kern w:val="0"/>
        </w:rPr>
        <w:t>u odkszta</w:t>
      </w:r>
      <w:r>
        <w:rPr>
          <w:rFonts w:eastAsia="CenturyGothic" w:hint="eastAsia"/>
          <w:kern w:val="0"/>
        </w:rPr>
        <w:t>ł</w:t>
      </w:r>
      <w:r>
        <w:rPr>
          <w:rFonts w:eastAsia="CenturyGothic"/>
          <w:kern w:val="0"/>
        </w:rPr>
        <w:t>cenia wtórnego E</w:t>
      </w:r>
      <w:r w:rsidRPr="00092F91">
        <w:rPr>
          <w:rFonts w:eastAsia="CenturyGothic"/>
          <w:kern w:val="0"/>
          <w:vertAlign w:val="subscript"/>
        </w:rPr>
        <w:t>2</w:t>
      </w:r>
      <w:r>
        <w:rPr>
          <w:rFonts w:eastAsia="CenturyGothic"/>
          <w:kern w:val="0"/>
          <w:sz w:val="10"/>
          <w:szCs w:val="10"/>
        </w:rPr>
        <w:t xml:space="preserve"> </w:t>
      </w:r>
      <w:r>
        <w:rPr>
          <w:rFonts w:eastAsia="CenturyGothic"/>
          <w:kern w:val="0"/>
        </w:rPr>
        <w:t>do pierwotnego E</w:t>
      </w:r>
      <w:r w:rsidRPr="00092F91">
        <w:rPr>
          <w:rFonts w:eastAsia="CenturyGothic"/>
          <w:kern w:val="0"/>
          <w:vertAlign w:val="subscript"/>
        </w:rPr>
        <w:t>1</w:t>
      </w:r>
      <w:r>
        <w:rPr>
          <w:rFonts w:eastAsia="CenturyGothic"/>
          <w:kern w:val="0"/>
        </w:rPr>
        <w:t>, który powinien by</w:t>
      </w:r>
      <w:r>
        <w:rPr>
          <w:rFonts w:eastAsia="CenturyGothic" w:hint="eastAsia"/>
          <w:kern w:val="0"/>
        </w:rPr>
        <w:t>ć</w:t>
      </w:r>
      <w:r>
        <w:rPr>
          <w:rFonts w:eastAsia="CenturyGothic"/>
          <w:kern w:val="0"/>
        </w:rPr>
        <w:t xml:space="preserve"> </w:t>
      </w:r>
      <w:r w:rsidR="009F4BBE" w:rsidRPr="004129B5">
        <w:rPr>
          <w:rFonts w:eastAsia="CenturyGothic"/>
          <w:kern w:val="0"/>
        </w:rPr>
        <w:t>dla nawierzchni na poboczach nie większ</w:t>
      </w:r>
      <w:r w:rsidR="00F5148B">
        <w:rPr>
          <w:rFonts w:eastAsia="CenturyGothic"/>
          <w:kern w:val="0"/>
        </w:rPr>
        <w:t>y</w:t>
      </w:r>
      <w:r w:rsidR="009F4BBE" w:rsidRPr="004129B5">
        <w:rPr>
          <w:rFonts w:eastAsia="CenturyGothic"/>
          <w:kern w:val="0"/>
        </w:rPr>
        <w:t xml:space="preserve"> niż 2,5</w:t>
      </w:r>
    </w:p>
    <w:p w:rsidR="007C3D00" w:rsidRPr="003530F0" w:rsidRDefault="007C3D00" w:rsidP="00917119">
      <w:pPr>
        <w:pStyle w:val="Nagwek1"/>
      </w:pPr>
      <w:r w:rsidRPr="003530F0">
        <w:t>6. Kontrola jakości robót</w:t>
      </w:r>
    </w:p>
    <w:p w:rsidR="007C3D00" w:rsidRPr="003530F0" w:rsidRDefault="007C3D00" w:rsidP="00917119">
      <w:pPr>
        <w:pStyle w:val="Nagwek2"/>
      </w:pPr>
      <w:r w:rsidRPr="003530F0">
        <w:t xml:space="preserve">6.1. Ogólne zasady kontroli </w:t>
      </w:r>
      <w:r w:rsidRPr="00635AA5">
        <w:t>jakości</w:t>
      </w:r>
      <w:r w:rsidRPr="003530F0">
        <w:t xml:space="preserve"> robót</w:t>
      </w:r>
    </w:p>
    <w:p w:rsidR="007C3D00" w:rsidRPr="003530F0" w:rsidRDefault="007C3D00" w:rsidP="00917119">
      <w:pPr>
        <w:jc w:val="left"/>
      </w:pPr>
      <w:r w:rsidRPr="003530F0">
        <w:t>Ogólne zasady kontroli jakości robót podano w Specyfikacji D-M-00.00.00 "Wymagania Ogólne", pkt. 6.</w:t>
      </w:r>
    </w:p>
    <w:p w:rsidR="007C3D00" w:rsidRPr="003530F0" w:rsidRDefault="007C3D00" w:rsidP="00917119">
      <w:pPr>
        <w:pStyle w:val="Nagwek2"/>
      </w:pPr>
      <w:r w:rsidRPr="003530F0">
        <w:t xml:space="preserve">6.2. Badania </w:t>
      </w:r>
      <w:r w:rsidRPr="00635AA5">
        <w:t>przed</w:t>
      </w:r>
      <w:r w:rsidRPr="003530F0">
        <w:t xml:space="preserve"> przystąpieniem do robót</w:t>
      </w:r>
    </w:p>
    <w:p w:rsidR="007C3D00" w:rsidRDefault="007C3D00" w:rsidP="00917119">
      <w:pPr>
        <w:jc w:val="left"/>
      </w:pPr>
      <w:r w:rsidRPr="003530F0">
        <w:t>Przed przystąpieniem do robót Wykonawca powinien wykonać badania kruszyw przeznaczonych do wykonani</w:t>
      </w:r>
      <w:r w:rsidR="00A86E26">
        <w:t>a</w:t>
      </w:r>
      <w:r w:rsidRPr="003530F0">
        <w:t xml:space="preserve"> robót i przedstawić wyniki tych badań Inżynierowi w celu akceptacji materiałów. Badania te powinny obejmować wszystkie właściwości określone w pkt 2.</w:t>
      </w:r>
      <w:r w:rsidR="007A6327">
        <w:t>2</w:t>
      </w:r>
      <w:r w:rsidRPr="003530F0">
        <w:t xml:space="preserve"> niniejszej Specyfikacji.</w:t>
      </w:r>
    </w:p>
    <w:p w:rsidR="00473871" w:rsidRDefault="00473871" w:rsidP="00917119">
      <w:pPr>
        <w:jc w:val="left"/>
      </w:pPr>
    </w:p>
    <w:p w:rsidR="00473871" w:rsidRDefault="00473871" w:rsidP="00917119">
      <w:pPr>
        <w:jc w:val="left"/>
      </w:pPr>
    </w:p>
    <w:p w:rsidR="00473871" w:rsidRDefault="00473871" w:rsidP="00917119">
      <w:pPr>
        <w:jc w:val="left"/>
      </w:pPr>
    </w:p>
    <w:p w:rsidR="00473871" w:rsidRDefault="00473871" w:rsidP="00917119">
      <w:pPr>
        <w:jc w:val="left"/>
      </w:pPr>
    </w:p>
    <w:p w:rsidR="00473871" w:rsidRDefault="00473871" w:rsidP="00917119">
      <w:pPr>
        <w:jc w:val="left"/>
      </w:pPr>
    </w:p>
    <w:p w:rsidR="00473871" w:rsidRDefault="00473871" w:rsidP="00917119">
      <w:pPr>
        <w:jc w:val="left"/>
      </w:pPr>
    </w:p>
    <w:p w:rsidR="00473871" w:rsidRDefault="00473871" w:rsidP="00917119">
      <w:pPr>
        <w:jc w:val="left"/>
      </w:pPr>
    </w:p>
    <w:p w:rsidR="00473871" w:rsidRDefault="00473871" w:rsidP="00917119">
      <w:pPr>
        <w:jc w:val="left"/>
      </w:pPr>
    </w:p>
    <w:p w:rsidR="00473871" w:rsidRPr="003530F0" w:rsidRDefault="00473871" w:rsidP="00917119">
      <w:pPr>
        <w:jc w:val="left"/>
      </w:pPr>
    </w:p>
    <w:p w:rsidR="007C3D00" w:rsidRPr="003530F0" w:rsidRDefault="007C3D00" w:rsidP="00917119">
      <w:pPr>
        <w:pStyle w:val="Nagwek2"/>
      </w:pPr>
      <w:r w:rsidRPr="003530F0">
        <w:t xml:space="preserve">6.3. </w:t>
      </w:r>
      <w:r w:rsidRPr="00452A92">
        <w:t>Badania</w:t>
      </w:r>
      <w:r w:rsidRPr="003530F0">
        <w:t xml:space="preserve"> w czasie robót</w:t>
      </w:r>
    </w:p>
    <w:p w:rsidR="007C3D00" w:rsidRPr="003530F0" w:rsidRDefault="007C3D00" w:rsidP="00917119">
      <w:pPr>
        <w:pStyle w:val="Nagwek3"/>
      </w:pPr>
      <w:r w:rsidRPr="003530F0">
        <w:t>6.3.1. Częstotliwość oraz zakres badań i pomiarów</w:t>
      </w:r>
    </w:p>
    <w:p w:rsidR="007C3D00" w:rsidRPr="003530F0" w:rsidRDefault="007C3D00" w:rsidP="00917119">
      <w:pPr>
        <w:jc w:val="left"/>
      </w:pPr>
      <w:r w:rsidRPr="003530F0">
        <w:t xml:space="preserve">Częstotliwość oraz zakres badań i pomiarów podano w tablicy </w:t>
      </w:r>
      <w:r w:rsidR="008B1DFC">
        <w:t>3</w:t>
      </w:r>
      <w:r w:rsidRPr="003530F0">
        <w:t>.</w:t>
      </w:r>
    </w:p>
    <w:p w:rsidR="00B820D5" w:rsidRDefault="00B820D5" w:rsidP="00917119">
      <w:pPr>
        <w:ind w:firstLine="0"/>
        <w:jc w:val="left"/>
        <w:rPr>
          <w:b/>
        </w:rPr>
      </w:pPr>
    </w:p>
    <w:p w:rsidR="007C3D00" w:rsidRPr="006B54DF" w:rsidRDefault="007C3D00" w:rsidP="00917119">
      <w:pPr>
        <w:jc w:val="left"/>
      </w:pPr>
      <w:r w:rsidRPr="008B1DFC">
        <w:t xml:space="preserve">Tablica </w:t>
      </w:r>
      <w:r w:rsidR="008B1DFC" w:rsidRPr="008B1DFC">
        <w:t>3</w:t>
      </w:r>
      <w:r w:rsidRPr="00EF5DF7">
        <w:rPr>
          <w:b/>
        </w:rPr>
        <w:t xml:space="preserve">. </w:t>
      </w:r>
      <w:r w:rsidRPr="00EF5DF7">
        <w:t>Częstotliwość oraz zakres pomiarów wykonan</w:t>
      </w:r>
      <w:r w:rsidR="00B40A0D">
        <w:t>ych umocnionych poboczy</w:t>
      </w:r>
    </w:p>
    <w:p w:rsidR="00A34B23" w:rsidRDefault="00A34B23" w:rsidP="00917119">
      <w:pPr>
        <w:keepNext/>
        <w:ind w:left="720" w:hanging="360"/>
        <w:jc w:val="left"/>
        <w:rPr>
          <w:i/>
          <w:strike/>
          <w:color w:val="FF0000"/>
        </w:rPr>
      </w:pP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784"/>
        <w:gridCol w:w="3639"/>
        <w:gridCol w:w="3079"/>
      </w:tblGrid>
      <w:tr w:rsidR="00B40A0D" w:rsidRPr="00A62D0D" w:rsidTr="00B40A0D">
        <w:trPr>
          <w:jc w:val="center"/>
        </w:trPr>
        <w:tc>
          <w:tcPr>
            <w:tcW w:w="632" w:type="dxa"/>
            <w:shd w:val="clear" w:color="auto" w:fill="auto"/>
            <w:vAlign w:val="center"/>
          </w:tcPr>
          <w:p w:rsidR="00B40A0D" w:rsidRPr="004129B5" w:rsidRDefault="00B40A0D" w:rsidP="00917119">
            <w:pPr>
              <w:keepNext/>
              <w:ind w:firstLine="0"/>
              <w:jc w:val="left"/>
              <w:rPr>
                <w:i/>
              </w:rPr>
            </w:pPr>
            <w:r w:rsidRPr="004129B5">
              <w:rPr>
                <w:i/>
              </w:rPr>
              <w:t>Lp.</w:t>
            </w:r>
          </w:p>
        </w:tc>
        <w:tc>
          <w:tcPr>
            <w:tcW w:w="1784" w:type="dxa"/>
            <w:shd w:val="clear" w:color="auto" w:fill="auto"/>
            <w:vAlign w:val="center"/>
          </w:tcPr>
          <w:p w:rsidR="00B40A0D" w:rsidRPr="004129B5" w:rsidRDefault="00B40A0D" w:rsidP="00917119">
            <w:pPr>
              <w:keepNext/>
              <w:ind w:firstLine="0"/>
              <w:jc w:val="left"/>
              <w:rPr>
                <w:i/>
              </w:rPr>
            </w:pPr>
            <w:r w:rsidRPr="004129B5">
              <w:rPr>
                <w:i/>
              </w:rPr>
              <w:t>Wyszczególnienie</w:t>
            </w:r>
          </w:p>
        </w:tc>
        <w:tc>
          <w:tcPr>
            <w:tcW w:w="3639" w:type="dxa"/>
            <w:shd w:val="clear" w:color="auto" w:fill="auto"/>
            <w:vAlign w:val="center"/>
          </w:tcPr>
          <w:p w:rsidR="00B40A0D" w:rsidRPr="004129B5" w:rsidRDefault="00B40A0D" w:rsidP="00917119">
            <w:pPr>
              <w:keepNext/>
              <w:ind w:firstLine="0"/>
              <w:jc w:val="left"/>
              <w:rPr>
                <w:i/>
              </w:rPr>
            </w:pPr>
            <w:r w:rsidRPr="004129B5">
              <w:rPr>
                <w:i/>
              </w:rPr>
              <w:t>Minimalna częstotliwość pomiarów</w:t>
            </w:r>
          </w:p>
        </w:tc>
        <w:tc>
          <w:tcPr>
            <w:tcW w:w="3079" w:type="dxa"/>
            <w:vAlign w:val="center"/>
          </w:tcPr>
          <w:p w:rsidR="00B40A0D" w:rsidRPr="004129B5" w:rsidRDefault="00B40A0D" w:rsidP="00917119">
            <w:pPr>
              <w:keepNext/>
              <w:ind w:firstLine="0"/>
              <w:jc w:val="left"/>
              <w:rPr>
                <w:i/>
              </w:rPr>
            </w:pPr>
            <w:r>
              <w:rPr>
                <w:i/>
              </w:rPr>
              <w:t>Tolerancja</w:t>
            </w:r>
            <w:r w:rsidR="007A722A">
              <w:rPr>
                <w:i/>
              </w:rPr>
              <w:t>/Wymagania</w:t>
            </w:r>
          </w:p>
        </w:tc>
      </w:tr>
      <w:tr w:rsidR="00B40A0D" w:rsidRPr="00A62D0D" w:rsidTr="00B40A0D">
        <w:trPr>
          <w:jc w:val="center"/>
        </w:trPr>
        <w:tc>
          <w:tcPr>
            <w:tcW w:w="632" w:type="dxa"/>
            <w:shd w:val="clear" w:color="auto" w:fill="auto"/>
            <w:vAlign w:val="center"/>
          </w:tcPr>
          <w:p w:rsidR="00B40A0D" w:rsidRPr="004129B5" w:rsidRDefault="00B40A0D" w:rsidP="00917119">
            <w:pPr>
              <w:keepNext/>
              <w:ind w:firstLine="0"/>
              <w:jc w:val="left"/>
              <w:rPr>
                <w:i/>
              </w:rPr>
            </w:pPr>
            <w:r w:rsidRPr="004129B5">
              <w:rPr>
                <w:i/>
              </w:rPr>
              <w:t>1</w:t>
            </w:r>
          </w:p>
        </w:tc>
        <w:tc>
          <w:tcPr>
            <w:tcW w:w="1784" w:type="dxa"/>
            <w:shd w:val="clear" w:color="auto" w:fill="auto"/>
            <w:vAlign w:val="center"/>
          </w:tcPr>
          <w:p w:rsidR="00B40A0D" w:rsidRPr="004129B5" w:rsidRDefault="00B40A0D" w:rsidP="00917119">
            <w:pPr>
              <w:keepNext/>
              <w:ind w:firstLine="0"/>
              <w:jc w:val="left"/>
              <w:rPr>
                <w:i/>
              </w:rPr>
            </w:pPr>
            <w:r w:rsidRPr="004129B5">
              <w:rPr>
                <w:i/>
              </w:rPr>
              <w:t>Zagęszczenie</w:t>
            </w:r>
          </w:p>
        </w:tc>
        <w:tc>
          <w:tcPr>
            <w:tcW w:w="3639" w:type="dxa"/>
            <w:shd w:val="clear" w:color="auto" w:fill="auto"/>
            <w:vAlign w:val="center"/>
          </w:tcPr>
          <w:p w:rsidR="00B40A0D" w:rsidRPr="004129B5" w:rsidRDefault="00B40A0D" w:rsidP="00917119">
            <w:pPr>
              <w:keepNext/>
              <w:ind w:firstLine="0"/>
              <w:jc w:val="left"/>
              <w:rPr>
                <w:i/>
              </w:rPr>
            </w:pPr>
            <w:r w:rsidRPr="004129B5">
              <w:rPr>
                <w:i/>
              </w:rPr>
              <w:t>1 raz a każde 200 m</w:t>
            </w:r>
            <w:r w:rsidR="00473871">
              <w:rPr>
                <w:i/>
              </w:rPr>
              <w:t>b</w:t>
            </w:r>
          </w:p>
        </w:tc>
        <w:tc>
          <w:tcPr>
            <w:tcW w:w="3079" w:type="dxa"/>
            <w:vAlign w:val="center"/>
          </w:tcPr>
          <w:p w:rsidR="00B40A0D" w:rsidRPr="00975081" w:rsidRDefault="00975081" w:rsidP="00917119">
            <w:pPr>
              <w:keepNext/>
              <w:ind w:firstLine="0"/>
              <w:jc w:val="left"/>
            </w:pPr>
            <w:r>
              <w:t>Is≥0,97</w:t>
            </w:r>
          </w:p>
        </w:tc>
      </w:tr>
      <w:tr w:rsidR="00B40A0D" w:rsidRPr="00A62D0D" w:rsidTr="00B40A0D">
        <w:trPr>
          <w:jc w:val="center"/>
        </w:trPr>
        <w:tc>
          <w:tcPr>
            <w:tcW w:w="632" w:type="dxa"/>
            <w:shd w:val="clear" w:color="auto" w:fill="auto"/>
            <w:vAlign w:val="center"/>
          </w:tcPr>
          <w:p w:rsidR="00B40A0D" w:rsidRPr="004129B5" w:rsidRDefault="00B40A0D" w:rsidP="00917119">
            <w:pPr>
              <w:keepNext/>
              <w:ind w:firstLine="0"/>
              <w:jc w:val="left"/>
              <w:rPr>
                <w:i/>
              </w:rPr>
            </w:pPr>
            <w:r w:rsidRPr="004129B5">
              <w:rPr>
                <w:i/>
              </w:rPr>
              <w:t>2</w:t>
            </w:r>
          </w:p>
        </w:tc>
        <w:tc>
          <w:tcPr>
            <w:tcW w:w="1784" w:type="dxa"/>
            <w:shd w:val="clear" w:color="auto" w:fill="auto"/>
            <w:vAlign w:val="center"/>
          </w:tcPr>
          <w:p w:rsidR="00B40A0D" w:rsidRPr="004129B5" w:rsidRDefault="00B40A0D" w:rsidP="00917119">
            <w:pPr>
              <w:keepNext/>
              <w:ind w:firstLine="0"/>
              <w:jc w:val="left"/>
              <w:rPr>
                <w:i/>
              </w:rPr>
            </w:pPr>
            <w:r w:rsidRPr="004129B5">
              <w:rPr>
                <w:i/>
              </w:rPr>
              <w:t>Szerokość</w:t>
            </w:r>
            <w:r>
              <w:rPr>
                <w:i/>
              </w:rPr>
              <w:t xml:space="preserve"> pobocza</w:t>
            </w:r>
          </w:p>
        </w:tc>
        <w:tc>
          <w:tcPr>
            <w:tcW w:w="3639" w:type="dxa"/>
            <w:shd w:val="clear" w:color="auto" w:fill="auto"/>
            <w:vAlign w:val="center"/>
          </w:tcPr>
          <w:p w:rsidR="00B40A0D" w:rsidRPr="004129B5" w:rsidRDefault="00B40A0D" w:rsidP="00917119">
            <w:pPr>
              <w:keepNext/>
              <w:ind w:firstLine="0"/>
              <w:jc w:val="left"/>
              <w:rPr>
                <w:i/>
              </w:rPr>
            </w:pPr>
            <w:r w:rsidRPr="004129B5">
              <w:rPr>
                <w:i/>
              </w:rPr>
              <w:t>1 raz na 100 m</w:t>
            </w:r>
          </w:p>
        </w:tc>
        <w:tc>
          <w:tcPr>
            <w:tcW w:w="3079" w:type="dxa"/>
            <w:vAlign w:val="center"/>
          </w:tcPr>
          <w:p w:rsidR="00B40A0D" w:rsidRPr="004129B5" w:rsidRDefault="00B40A0D" w:rsidP="00917119">
            <w:pPr>
              <w:keepNext/>
              <w:ind w:firstLine="0"/>
              <w:jc w:val="left"/>
              <w:rPr>
                <w:i/>
              </w:rPr>
            </w:pPr>
            <w:r>
              <w:rPr>
                <w:i/>
              </w:rPr>
              <w:t>± 5cm</w:t>
            </w:r>
          </w:p>
        </w:tc>
      </w:tr>
      <w:tr w:rsidR="00B40A0D" w:rsidRPr="00A62D0D" w:rsidTr="00B40A0D">
        <w:trPr>
          <w:jc w:val="center"/>
        </w:trPr>
        <w:tc>
          <w:tcPr>
            <w:tcW w:w="632" w:type="dxa"/>
            <w:shd w:val="clear" w:color="auto" w:fill="auto"/>
            <w:vAlign w:val="center"/>
          </w:tcPr>
          <w:p w:rsidR="00B40A0D" w:rsidRPr="004129B5" w:rsidRDefault="00B40A0D" w:rsidP="00917119">
            <w:pPr>
              <w:keepNext/>
              <w:ind w:firstLine="0"/>
              <w:jc w:val="left"/>
              <w:rPr>
                <w:i/>
              </w:rPr>
            </w:pPr>
            <w:r w:rsidRPr="004129B5">
              <w:rPr>
                <w:i/>
              </w:rPr>
              <w:t>3</w:t>
            </w:r>
          </w:p>
        </w:tc>
        <w:tc>
          <w:tcPr>
            <w:tcW w:w="1784" w:type="dxa"/>
            <w:shd w:val="clear" w:color="auto" w:fill="auto"/>
            <w:vAlign w:val="center"/>
          </w:tcPr>
          <w:p w:rsidR="00B40A0D" w:rsidRPr="004129B5" w:rsidRDefault="00B40A0D" w:rsidP="00917119">
            <w:pPr>
              <w:keepNext/>
              <w:ind w:firstLine="0"/>
              <w:jc w:val="left"/>
              <w:rPr>
                <w:i/>
              </w:rPr>
            </w:pPr>
            <w:r w:rsidRPr="004129B5">
              <w:rPr>
                <w:i/>
              </w:rPr>
              <w:t>Spadek poprzeczny</w:t>
            </w:r>
          </w:p>
        </w:tc>
        <w:tc>
          <w:tcPr>
            <w:tcW w:w="3639" w:type="dxa"/>
            <w:shd w:val="clear" w:color="auto" w:fill="auto"/>
            <w:vAlign w:val="center"/>
          </w:tcPr>
          <w:p w:rsidR="00B40A0D" w:rsidRPr="004129B5" w:rsidRDefault="00B40A0D" w:rsidP="00917119">
            <w:pPr>
              <w:keepNext/>
              <w:ind w:firstLine="0"/>
              <w:jc w:val="left"/>
              <w:rPr>
                <w:i/>
              </w:rPr>
            </w:pPr>
            <w:r w:rsidRPr="004129B5">
              <w:rPr>
                <w:i/>
              </w:rPr>
              <w:t>1 raz na 100 m</w:t>
            </w:r>
          </w:p>
        </w:tc>
        <w:tc>
          <w:tcPr>
            <w:tcW w:w="3079" w:type="dxa"/>
            <w:vAlign w:val="center"/>
          </w:tcPr>
          <w:p w:rsidR="00B40A0D" w:rsidRPr="004129B5" w:rsidRDefault="00B40A0D" w:rsidP="00917119">
            <w:pPr>
              <w:keepNext/>
              <w:ind w:firstLine="0"/>
              <w:jc w:val="left"/>
              <w:rPr>
                <w:i/>
              </w:rPr>
            </w:pPr>
            <w:r>
              <w:rPr>
                <w:i/>
              </w:rPr>
              <w:t>± 0,5 %</w:t>
            </w:r>
          </w:p>
        </w:tc>
      </w:tr>
      <w:tr w:rsidR="00B40A0D" w:rsidRPr="00A62D0D" w:rsidTr="00B40A0D">
        <w:trPr>
          <w:jc w:val="center"/>
        </w:trPr>
        <w:tc>
          <w:tcPr>
            <w:tcW w:w="632" w:type="dxa"/>
            <w:shd w:val="clear" w:color="auto" w:fill="auto"/>
            <w:vAlign w:val="center"/>
          </w:tcPr>
          <w:p w:rsidR="00B40A0D" w:rsidRPr="004129B5" w:rsidRDefault="00B40A0D" w:rsidP="00917119">
            <w:pPr>
              <w:keepNext/>
              <w:ind w:firstLine="0"/>
              <w:jc w:val="left"/>
              <w:rPr>
                <w:i/>
              </w:rPr>
            </w:pPr>
            <w:r w:rsidRPr="004129B5">
              <w:rPr>
                <w:i/>
              </w:rPr>
              <w:t>4</w:t>
            </w:r>
          </w:p>
        </w:tc>
        <w:tc>
          <w:tcPr>
            <w:tcW w:w="1784" w:type="dxa"/>
            <w:shd w:val="clear" w:color="auto" w:fill="auto"/>
            <w:vAlign w:val="center"/>
          </w:tcPr>
          <w:p w:rsidR="00B40A0D" w:rsidRPr="004129B5" w:rsidRDefault="00B40A0D" w:rsidP="00917119">
            <w:pPr>
              <w:keepNext/>
              <w:ind w:firstLine="0"/>
              <w:jc w:val="left"/>
              <w:rPr>
                <w:i/>
              </w:rPr>
            </w:pPr>
            <w:r w:rsidRPr="004129B5">
              <w:rPr>
                <w:i/>
              </w:rPr>
              <w:t>Równość</w:t>
            </w:r>
            <w:r>
              <w:rPr>
                <w:i/>
              </w:rPr>
              <w:t xml:space="preserve"> nawierzchni</w:t>
            </w:r>
          </w:p>
        </w:tc>
        <w:tc>
          <w:tcPr>
            <w:tcW w:w="3639" w:type="dxa"/>
            <w:shd w:val="clear" w:color="auto" w:fill="auto"/>
            <w:vAlign w:val="center"/>
          </w:tcPr>
          <w:p w:rsidR="00B40A0D" w:rsidRPr="004129B5" w:rsidRDefault="00B40A0D" w:rsidP="00917119">
            <w:pPr>
              <w:keepNext/>
              <w:ind w:firstLine="0"/>
              <w:jc w:val="left"/>
              <w:rPr>
                <w:i/>
              </w:rPr>
            </w:pPr>
            <w:r w:rsidRPr="004129B5">
              <w:rPr>
                <w:i/>
              </w:rPr>
              <w:t>1 raz na 100 m</w:t>
            </w:r>
          </w:p>
        </w:tc>
        <w:tc>
          <w:tcPr>
            <w:tcW w:w="3079" w:type="dxa"/>
            <w:vAlign w:val="center"/>
          </w:tcPr>
          <w:p w:rsidR="00B40A0D" w:rsidRPr="004129B5" w:rsidRDefault="00B40A0D" w:rsidP="00917119">
            <w:pPr>
              <w:keepNext/>
              <w:ind w:firstLine="0"/>
              <w:jc w:val="left"/>
              <w:rPr>
                <w:i/>
              </w:rPr>
            </w:pPr>
            <w:r>
              <w:rPr>
                <w:i/>
              </w:rPr>
              <w:t>&lt; 15 mm</w:t>
            </w:r>
          </w:p>
        </w:tc>
      </w:tr>
      <w:tr w:rsidR="00B40A0D" w:rsidRPr="00A62D0D" w:rsidTr="00B40A0D">
        <w:trPr>
          <w:jc w:val="center"/>
        </w:trPr>
        <w:tc>
          <w:tcPr>
            <w:tcW w:w="632" w:type="dxa"/>
            <w:shd w:val="clear" w:color="auto" w:fill="auto"/>
            <w:vAlign w:val="center"/>
          </w:tcPr>
          <w:p w:rsidR="00B40A0D" w:rsidRPr="004129B5" w:rsidRDefault="00B40A0D" w:rsidP="00917119">
            <w:pPr>
              <w:keepNext/>
              <w:ind w:firstLine="0"/>
              <w:jc w:val="left"/>
              <w:rPr>
                <w:i/>
              </w:rPr>
            </w:pPr>
            <w:r w:rsidRPr="004129B5">
              <w:rPr>
                <w:i/>
              </w:rPr>
              <w:t>5</w:t>
            </w:r>
          </w:p>
        </w:tc>
        <w:tc>
          <w:tcPr>
            <w:tcW w:w="1784" w:type="dxa"/>
            <w:shd w:val="clear" w:color="auto" w:fill="auto"/>
            <w:vAlign w:val="center"/>
          </w:tcPr>
          <w:p w:rsidR="00B40A0D" w:rsidRPr="004129B5" w:rsidRDefault="00B40A0D" w:rsidP="00917119">
            <w:pPr>
              <w:keepNext/>
              <w:ind w:firstLine="0"/>
              <w:jc w:val="left"/>
              <w:rPr>
                <w:i/>
              </w:rPr>
            </w:pPr>
            <w:r w:rsidRPr="004129B5">
              <w:rPr>
                <w:i/>
              </w:rPr>
              <w:t>Rzędne wysokościowe</w:t>
            </w:r>
          </w:p>
        </w:tc>
        <w:tc>
          <w:tcPr>
            <w:tcW w:w="3639" w:type="dxa"/>
            <w:shd w:val="clear" w:color="auto" w:fill="auto"/>
            <w:vAlign w:val="center"/>
          </w:tcPr>
          <w:p w:rsidR="00B40A0D" w:rsidRPr="004129B5" w:rsidRDefault="00B40A0D" w:rsidP="00917119">
            <w:pPr>
              <w:keepNext/>
              <w:ind w:firstLine="0"/>
              <w:jc w:val="left"/>
              <w:rPr>
                <w:i/>
              </w:rPr>
            </w:pPr>
            <w:r w:rsidRPr="004129B5">
              <w:rPr>
                <w:i/>
              </w:rPr>
              <w:t>1 raz na 100 m</w:t>
            </w:r>
          </w:p>
        </w:tc>
        <w:tc>
          <w:tcPr>
            <w:tcW w:w="3079" w:type="dxa"/>
            <w:vAlign w:val="center"/>
          </w:tcPr>
          <w:p w:rsidR="00B40A0D" w:rsidRPr="004129B5" w:rsidRDefault="00B40A0D" w:rsidP="00917119">
            <w:pPr>
              <w:keepNext/>
              <w:ind w:firstLine="0"/>
              <w:jc w:val="left"/>
              <w:rPr>
                <w:i/>
              </w:rPr>
            </w:pPr>
            <w:r>
              <w:rPr>
                <w:i/>
              </w:rPr>
              <w:t>+1cm; - 2cm</w:t>
            </w:r>
          </w:p>
        </w:tc>
      </w:tr>
      <w:tr w:rsidR="00B40A0D" w:rsidRPr="00A62D0D" w:rsidTr="00B40A0D">
        <w:trPr>
          <w:jc w:val="center"/>
        </w:trPr>
        <w:tc>
          <w:tcPr>
            <w:tcW w:w="632" w:type="dxa"/>
            <w:shd w:val="clear" w:color="auto" w:fill="auto"/>
            <w:vAlign w:val="center"/>
          </w:tcPr>
          <w:p w:rsidR="00B40A0D" w:rsidRPr="004129B5" w:rsidRDefault="00B40A0D" w:rsidP="00917119">
            <w:pPr>
              <w:keepNext/>
              <w:ind w:firstLine="0"/>
              <w:jc w:val="left"/>
              <w:rPr>
                <w:i/>
              </w:rPr>
            </w:pPr>
            <w:r w:rsidRPr="004129B5">
              <w:rPr>
                <w:i/>
              </w:rPr>
              <w:t>6</w:t>
            </w:r>
          </w:p>
        </w:tc>
        <w:tc>
          <w:tcPr>
            <w:tcW w:w="1784" w:type="dxa"/>
            <w:shd w:val="clear" w:color="auto" w:fill="auto"/>
            <w:vAlign w:val="center"/>
          </w:tcPr>
          <w:p w:rsidR="00B40A0D" w:rsidRPr="004129B5" w:rsidRDefault="00B40A0D" w:rsidP="00917119">
            <w:pPr>
              <w:keepNext/>
              <w:ind w:firstLine="0"/>
              <w:jc w:val="left"/>
              <w:rPr>
                <w:i/>
              </w:rPr>
            </w:pPr>
            <w:r w:rsidRPr="004129B5">
              <w:rPr>
                <w:i/>
              </w:rPr>
              <w:t>Grubość</w:t>
            </w:r>
          </w:p>
        </w:tc>
        <w:tc>
          <w:tcPr>
            <w:tcW w:w="3639" w:type="dxa"/>
            <w:shd w:val="clear" w:color="auto" w:fill="auto"/>
            <w:vAlign w:val="center"/>
          </w:tcPr>
          <w:p w:rsidR="00B40A0D" w:rsidRPr="004129B5" w:rsidRDefault="00B40A0D" w:rsidP="00917119">
            <w:pPr>
              <w:keepNext/>
              <w:ind w:firstLine="0"/>
              <w:jc w:val="left"/>
              <w:rPr>
                <w:i/>
              </w:rPr>
            </w:pPr>
            <w:r w:rsidRPr="004129B5">
              <w:rPr>
                <w:i/>
              </w:rPr>
              <w:t>W 3 punktach ale nie rzadziej niż 1 na 2000 m</w:t>
            </w:r>
            <w:r w:rsidRPr="004129B5">
              <w:rPr>
                <w:i/>
                <w:vertAlign w:val="superscript"/>
              </w:rPr>
              <w:t>2</w:t>
            </w:r>
          </w:p>
        </w:tc>
        <w:tc>
          <w:tcPr>
            <w:tcW w:w="3079" w:type="dxa"/>
            <w:vAlign w:val="center"/>
          </w:tcPr>
          <w:p w:rsidR="00B40A0D" w:rsidRPr="004129B5" w:rsidRDefault="00B40A0D" w:rsidP="00917119">
            <w:pPr>
              <w:keepNext/>
              <w:ind w:firstLine="0"/>
              <w:jc w:val="left"/>
              <w:rPr>
                <w:i/>
              </w:rPr>
            </w:pPr>
            <w:r>
              <w:rPr>
                <w:i/>
              </w:rPr>
              <w:t>± 10%</w:t>
            </w:r>
          </w:p>
        </w:tc>
      </w:tr>
    </w:tbl>
    <w:p w:rsidR="00A34B23" w:rsidRPr="00A34B23" w:rsidRDefault="00A34B23" w:rsidP="00917119">
      <w:pPr>
        <w:keepNext/>
        <w:ind w:left="720" w:hanging="360"/>
        <w:jc w:val="left"/>
        <w:rPr>
          <w:i/>
          <w:color w:val="FF0000"/>
        </w:rPr>
      </w:pPr>
    </w:p>
    <w:p w:rsidR="007C3D00" w:rsidRPr="00BE6EDA" w:rsidRDefault="007C3D00" w:rsidP="00917119">
      <w:pPr>
        <w:pStyle w:val="Nagwek2"/>
      </w:pPr>
      <w:r w:rsidRPr="00BE6EDA">
        <w:t>6.</w:t>
      </w:r>
      <w:r w:rsidR="00B40A0D">
        <w:t>4</w:t>
      </w:r>
      <w:r w:rsidRPr="00BE6EDA">
        <w:t xml:space="preserve">.  </w:t>
      </w:r>
      <w:r w:rsidRPr="00452A92">
        <w:t>Zasady</w:t>
      </w:r>
      <w:r w:rsidRPr="00BE6EDA">
        <w:t xml:space="preserve"> postępowania z wadliwie wykonanymi odcinkami </w:t>
      </w:r>
      <w:r w:rsidR="00E67F28">
        <w:t>nawierzchni</w:t>
      </w:r>
    </w:p>
    <w:p w:rsidR="007C3D00" w:rsidRPr="00BE6EDA" w:rsidRDefault="007C3D00" w:rsidP="00917119">
      <w:pPr>
        <w:pStyle w:val="Nagwek3"/>
      </w:pPr>
      <w:r w:rsidRPr="00BE6EDA">
        <w:t>6.</w:t>
      </w:r>
      <w:r w:rsidR="00B40A0D">
        <w:t>4</w:t>
      </w:r>
      <w:r w:rsidRPr="00BE6EDA">
        <w:t xml:space="preserve">.1. Niewłaściwe cechy geometryczne </w:t>
      </w:r>
      <w:r w:rsidR="00E67F28">
        <w:t>nawierzchni</w:t>
      </w:r>
    </w:p>
    <w:p w:rsidR="007C3D00" w:rsidRPr="00BE6EDA" w:rsidRDefault="007C3D00" w:rsidP="00917119">
      <w:pPr>
        <w:jc w:val="left"/>
      </w:pPr>
      <w:r w:rsidRPr="00BE6EDA">
        <w:t>Wszystkie powierzchnie warstwy, które wykazują większe odchylenia od określonych w punkcie 6.</w:t>
      </w:r>
      <w:r w:rsidR="00B40A0D">
        <w:t>3</w:t>
      </w:r>
      <w:r w:rsidRPr="00BE6EDA">
        <w:t xml:space="preserve"> powinny być naprawione przez spulchnienie lub zerwanie do głębokości co najmniej 10cm, wyrównane i powtórnie zagęszczone. Dodanie nowego materiału bez spulchnienia wykonanej warstwy jest niedopuszczalne.</w:t>
      </w:r>
    </w:p>
    <w:p w:rsidR="007C3D00" w:rsidRPr="00BE6EDA" w:rsidRDefault="007C3D00" w:rsidP="00917119">
      <w:pPr>
        <w:jc w:val="left"/>
      </w:pPr>
      <w:r w:rsidRPr="00BE6EDA">
        <w:t xml:space="preserve">Jeżeli szerokość </w:t>
      </w:r>
      <w:r w:rsidR="00E67F28">
        <w:t>nawierzchni</w:t>
      </w:r>
      <w:r w:rsidRPr="00BE6EDA">
        <w:t xml:space="preserve"> jest mniejsza od szerokości projektowanej o więcej niż </w:t>
      </w:r>
      <w:smartTag w:uri="urn:schemas-microsoft-com:office:smarttags" w:element="metricconverter">
        <w:smartTagPr>
          <w:attr w:name="ProductID" w:val="5 cm"/>
        </w:smartTagPr>
        <w:r w:rsidRPr="00BE6EDA">
          <w:t>5 cm</w:t>
        </w:r>
      </w:smartTag>
      <w:r w:rsidRPr="00BE6EDA">
        <w:t xml:space="preserve"> i nie zapewnia podparcia warstwom wyżej leżącym, to Wykonawca powinien </w:t>
      </w:r>
      <w:r>
        <w:t xml:space="preserve">na własny koszt </w:t>
      </w:r>
      <w:r w:rsidRPr="00BE6EDA">
        <w:t xml:space="preserve">poszerzyć </w:t>
      </w:r>
      <w:r w:rsidR="00E67F28">
        <w:t>nawierzchnię</w:t>
      </w:r>
      <w:r w:rsidRPr="00BE6EDA">
        <w:t xml:space="preserve"> przez spulchnienie warstwy na pełną grubość do połowy szerokości pasa ruchu, dołożenie materiału i powtórnie zagęszczenie.</w:t>
      </w:r>
    </w:p>
    <w:p w:rsidR="007C3D00" w:rsidRPr="00BE6EDA" w:rsidRDefault="007C3D00" w:rsidP="00917119">
      <w:pPr>
        <w:pStyle w:val="Nagwek3"/>
      </w:pPr>
      <w:r w:rsidRPr="00BE6EDA">
        <w:t>6.</w:t>
      </w:r>
      <w:r w:rsidR="008B1DFC">
        <w:t>4</w:t>
      </w:r>
      <w:r w:rsidRPr="00BE6EDA">
        <w:t xml:space="preserve">.2. Niewłaściwa grubość </w:t>
      </w:r>
      <w:r w:rsidR="00E67F28">
        <w:t>nawierzchni</w:t>
      </w:r>
    </w:p>
    <w:p w:rsidR="007C3D00" w:rsidRPr="00BE6EDA" w:rsidRDefault="007C3D00" w:rsidP="00917119">
      <w:pPr>
        <w:jc w:val="left"/>
      </w:pPr>
      <w:r w:rsidRPr="00BE6EDA">
        <w:t xml:space="preserve">Na wszystkich powierzchniach wadliwych pod względem grubości, Wykonawca wykona naprawę warstwy. Powierzchnie powinny być naprawione przez spulchnienie lub wybranie warstwy na odpowiednią głębokość, zgodnie </w:t>
      </w:r>
      <w:r w:rsidR="00932E02">
        <w:br/>
      </w:r>
      <w:r w:rsidRPr="00BE6EDA">
        <w:t>z decyzją Inżyniera, uzupełnione nowym materiałem o odpowiednich właściwościach, wyrównane i ponownie zagęszczone.</w:t>
      </w:r>
    </w:p>
    <w:p w:rsidR="007C3D00" w:rsidRDefault="007C3D00" w:rsidP="00917119">
      <w:pPr>
        <w:jc w:val="left"/>
      </w:pPr>
      <w:r w:rsidRPr="00C85E01">
        <w:t>Roboty te</w:t>
      </w:r>
      <w:r w:rsidRPr="00452A92">
        <w:t xml:space="preserve"> </w:t>
      </w:r>
      <w:r w:rsidRPr="00C85E01">
        <w:t>Wykonawca wykona na własny koszt. Po wykonaniu tych robót nastąpi ponowny pomiar i ocena grubości warstwy, według wyżej podanych zasad, na koszt Wykonawcy.</w:t>
      </w:r>
    </w:p>
    <w:p w:rsidR="007C3D00" w:rsidRPr="00BE6EDA" w:rsidRDefault="007C3D00" w:rsidP="00917119">
      <w:pPr>
        <w:pStyle w:val="Nagwek1"/>
      </w:pPr>
      <w:r w:rsidRPr="00BE6EDA">
        <w:t>7. OBMIAR ROBÓT</w:t>
      </w:r>
    </w:p>
    <w:p w:rsidR="007C3D00" w:rsidRPr="00BE6EDA" w:rsidRDefault="007C3D00" w:rsidP="00917119">
      <w:pPr>
        <w:pStyle w:val="Nagwek2"/>
      </w:pPr>
      <w:r w:rsidRPr="00BE6EDA">
        <w:t xml:space="preserve">7.1. Ogólne </w:t>
      </w:r>
      <w:r w:rsidRPr="00452A92">
        <w:t>zasady</w:t>
      </w:r>
      <w:r w:rsidRPr="00BE6EDA">
        <w:t xml:space="preserve"> obmiaru robót</w:t>
      </w:r>
    </w:p>
    <w:p w:rsidR="007C3D00" w:rsidRPr="00BE6EDA" w:rsidRDefault="007C3D00" w:rsidP="00917119">
      <w:pPr>
        <w:jc w:val="left"/>
      </w:pPr>
      <w:r w:rsidRPr="00BE6EDA">
        <w:t>Ogólne zasady obmiaru robót podano w Specyfikacji D-M-00.00.00 „Wymagania ogólne” pkt 7.</w:t>
      </w:r>
    </w:p>
    <w:p w:rsidR="007C3D00" w:rsidRPr="00BE6EDA" w:rsidRDefault="007C3D00" w:rsidP="00917119">
      <w:pPr>
        <w:pStyle w:val="Nagwek2"/>
      </w:pPr>
      <w:r w:rsidRPr="00BE6EDA">
        <w:t xml:space="preserve">7.2. </w:t>
      </w:r>
      <w:r w:rsidRPr="00452A92">
        <w:t>Jednostka</w:t>
      </w:r>
      <w:r w:rsidRPr="00BE6EDA">
        <w:t xml:space="preserve"> obmiarowa</w:t>
      </w:r>
    </w:p>
    <w:p w:rsidR="007C3D00" w:rsidRPr="00BE6EDA" w:rsidRDefault="007C3D00" w:rsidP="00917119">
      <w:pPr>
        <w:jc w:val="left"/>
      </w:pPr>
      <w:r w:rsidRPr="00BE6EDA">
        <w:t>Jednostką obmiarową jest  m</w:t>
      </w:r>
      <w:r w:rsidRPr="00BE6EDA">
        <w:rPr>
          <w:vertAlign w:val="superscript"/>
        </w:rPr>
        <w:t>2</w:t>
      </w:r>
      <w:r w:rsidRPr="00BE6EDA">
        <w:t xml:space="preserve"> (metr kwadratowy) warstwy wykonanej z </w:t>
      </w:r>
      <w:r w:rsidR="008B5B0F">
        <w:t xml:space="preserve">mieszanki </w:t>
      </w:r>
      <w:r w:rsidRPr="00BE6EDA">
        <w:t xml:space="preserve">kruszywa </w:t>
      </w:r>
      <w:r w:rsidR="008B5B0F">
        <w:t>niezwiązanego</w:t>
      </w:r>
      <w:r w:rsidRPr="00BE6EDA">
        <w:t xml:space="preserve"> w zależności od grubości.</w:t>
      </w:r>
    </w:p>
    <w:p w:rsidR="007C3D00" w:rsidRPr="00C85E01" w:rsidRDefault="007C3D00" w:rsidP="00917119">
      <w:pPr>
        <w:pStyle w:val="Nagwek1"/>
      </w:pPr>
      <w:r w:rsidRPr="00C85E01">
        <w:t>8. ODBIÓR ROBÓT</w:t>
      </w:r>
    </w:p>
    <w:p w:rsidR="007C3D00" w:rsidRPr="00C85E01" w:rsidRDefault="007C3D00" w:rsidP="00917119">
      <w:pPr>
        <w:jc w:val="left"/>
      </w:pPr>
      <w:r w:rsidRPr="00C85E01">
        <w:t>Ogólne zasady odbioru robót podano w Specyfikacji D-M-00.00.00 "Wymagania Ogólne" pkt. 8.</w:t>
      </w:r>
    </w:p>
    <w:p w:rsidR="007C3D00" w:rsidRPr="00C85E01" w:rsidRDefault="007C3D00" w:rsidP="00917119">
      <w:pPr>
        <w:jc w:val="left"/>
      </w:pPr>
      <w:r w:rsidRPr="00C85E01">
        <w:t>Roboty uznaje się za zgodne z dokumentacją projektową, Specyfikacjami i wymaganiami Inżyniera, jeżeli wszystkie pomiary i badania z zachowaniem tolerancji wg pkt 6 dały wyniki pozytywne.</w:t>
      </w:r>
    </w:p>
    <w:p w:rsidR="007C3D00" w:rsidRPr="00C85E01" w:rsidRDefault="007C3D00" w:rsidP="00917119">
      <w:pPr>
        <w:pStyle w:val="Nagwek1"/>
      </w:pPr>
      <w:r w:rsidRPr="00C85E01">
        <w:t>9. podstawa płatności</w:t>
      </w:r>
    </w:p>
    <w:p w:rsidR="007C3D00" w:rsidRPr="00C85E01" w:rsidRDefault="007C3D00" w:rsidP="00917119">
      <w:pPr>
        <w:pStyle w:val="Nagwek2"/>
      </w:pPr>
      <w:r w:rsidRPr="00C85E01">
        <w:t>9.1. Ogólne ustalenia dotyczące podstawy płatności</w:t>
      </w:r>
    </w:p>
    <w:p w:rsidR="007C3D00" w:rsidRDefault="007C3D00" w:rsidP="00917119">
      <w:pPr>
        <w:jc w:val="left"/>
      </w:pPr>
      <w:r w:rsidRPr="00C85E01">
        <w:t>Ogólne ustalenia dotyczące podstawy płatności podano w Specyfikacji D-M-00.00.00 „Wymagania ogólne” pkt 9.</w:t>
      </w:r>
    </w:p>
    <w:p w:rsidR="00A04858" w:rsidRPr="0002533E" w:rsidRDefault="00A04858" w:rsidP="00917119">
      <w:pPr>
        <w:jc w:val="left"/>
      </w:pPr>
      <w:r w:rsidRPr="0002533E">
        <w:t>Wynagrodzenie ryczałtowe: zasady płatności podano w umowie pomiędzy Zamawiającym a Wykonawcą.</w:t>
      </w:r>
    </w:p>
    <w:p w:rsidR="007E0BDF" w:rsidRDefault="007E0BDF" w:rsidP="00917119">
      <w:pPr>
        <w:pStyle w:val="Nagwek1"/>
      </w:pPr>
    </w:p>
    <w:p w:rsidR="007C3D00" w:rsidRPr="00C814C5" w:rsidRDefault="007C3D00" w:rsidP="00917119">
      <w:pPr>
        <w:pStyle w:val="Nagwek1"/>
      </w:pPr>
      <w:r w:rsidRPr="00C814C5">
        <w:t>10. Przepisy związane</w:t>
      </w:r>
    </w:p>
    <w:p w:rsidR="007C3D00" w:rsidRPr="00C814C5" w:rsidRDefault="007C3D00" w:rsidP="00917119">
      <w:pPr>
        <w:pStyle w:val="Nagwek2"/>
      </w:pPr>
      <w:r w:rsidRPr="00C814C5">
        <w:t xml:space="preserve">10.1. </w:t>
      </w:r>
      <w:r w:rsidRPr="00452A92">
        <w:t>Normy</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CD18AA">
        <w:rPr>
          <w:rFonts w:eastAsia="CenturyGothic"/>
          <w:kern w:val="0"/>
        </w:rPr>
        <w:tab/>
      </w:r>
      <w:r w:rsidRPr="00CD18AA">
        <w:rPr>
          <w:rFonts w:eastAsia="CenturyGothic"/>
          <w:kern w:val="0"/>
        </w:rPr>
        <w:t>PN-EN 13242</w:t>
      </w:r>
      <w:r w:rsidR="00CD18AA">
        <w:rPr>
          <w:rFonts w:eastAsia="CenturyGothic"/>
          <w:kern w:val="0"/>
        </w:rPr>
        <w:tab/>
      </w:r>
      <w:r w:rsidRPr="00CD18AA">
        <w:rPr>
          <w:rFonts w:eastAsia="CenturyGothic"/>
          <w:kern w:val="0"/>
        </w:rPr>
        <w:t>Kruszywa do niezwiązanych i hydraulicznie związanych materiał</w:t>
      </w:r>
      <w:r w:rsidR="00CD18AA">
        <w:rPr>
          <w:rFonts w:eastAsia="CenturyGothic"/>
          <w:kern w:val="0"/>
        </w:rPr>
        <w:t>ó</w:t>
      </w:r>
      <w:r w:rsidRPr="00CD18AA">
        <w:rPr>
          <w:rFonts w:eastAsia="CenturyGothic"/>
          <w:kern w:val="0"/>
        </w:rPr>
        <w:t xml:space="preserve">w stosowanych w </w:t>
      </w:r>
      <w:r w:rsidR="00CD18AA">
        <w:rPr>
          <w:rFonts w:eastAsia="CenturyGothic"/>
          <w:kern w:val="0"/>
        </w:rPr>
        <w:tab/>
      </w:r>
      <w:r w:rsidR="00CD18AA">
        <w:rPr>
          <w:rFonts w:eastAsia="CenturyGothic"/>
          <w:kern w:val="0"/>
        </w:rPr>
        <w:tab/>
      </w:r>
      <w:r w:rsidR="00CD18AA">
        <w:rPr>
          <w:rFonts w:eastAsia="CenturyGothic"/>
          <w:kern w:val="0"/>
        </w:rPr>
        <w:tab/>
      </w:r>
      <w:r w:rsidR="00CD18AA">
        <w:rPr>
          <w:rFonts w:eastAsia="CenturyGothic"/>
          <w:kern w:val="0"/>
        </w:rPr>
        <w:tab/>
      </w:r>
      <w:r w:rsidRPr="00CD18AA">
        <w:rPr>
          <w:rFonts w:eastAsia="CenturyGothic"/>
          <w:kern w:val="0"/>
        </w:rPr>
        <w:t>obiektach budowlanych i budownictwie drogowym.</w:t>
      </w:r>
    </w:p>
    <w:p w:rsidR="009301C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2.</w:t>
      </w:r>
      <w:r w:rsidR="00CD18AA">
        <w:rPr>
          <w:rFonts w:eastAsia="CenturyGothic"/>
          <w:kern w:val="0"/>
        </w:rPr>
        <w:tab/>
      </w:r>
      <w:r w:rsidRPr="00CD18AA">
        <w:rPr>
          <w:rFonts w:eastAsia="CenturyGothic"/>
          <w:kern w:val="0"/>
        </w:rPr>
        <w:t>PN-EN 13285</w:t>
      </w:r>
      <w:r w:rsidR="00CD18AA">
        <w:rPr>
          <w:rFonts w:eastAsia="CenturyGothic"/>
          <w:kern w:val="0"/>
        </w:rPr>
        <w:tab/>
      </w:r>
      <w:r w:rsidRPr="00CD18AA">
        <w:rPr>
          <w:rFonts w:eastAsia="CenturyGothic"/>
          <w:kern w:val="0"/>
        </w:rPr>
        <w:t>Mieszanki niezwiązane</w:t>
      </w:r>
      <w:r w:rsidR="00CD18AA">
        <w:rPr>
          <w:rFonts w:eastAsia="CenturyGothic"/>
          <w:kern w:val="0"/>
        </w:rPr>
        <w:t xml:space="preserve">. </w:t>
      </w:r>
      <w:r w:rsidRPr="00CD18AA">
        <w:rPr>
          <w:rFonts w:eastAsia="CenturyGothic"/>
          <w:kern w:val="0"/>
        </w:rPr>
        <w:t>Wymagania.</w:t>
      </w:r>
    </w:p>
    <w:p w:rsidR="00E97644" w:rsidRPr="00CD18AA" w:rsidRDefault="00E97644" w:rsidP="00917119">
      <w:pPr>
        <w:numPr>
          <w:ilvl w:val="0"/>
          <w:numId w:val="0"/>
        </w:numPr>
        <w:overflowPunct/>
        <w:ind w:left="426" w:hanging="426"/>
        <w:jc w:val="left"/>
        <w:textAlignment w:val="auto"/>
        <w:rPr>
          <w:rFonts w:eastAsia="CenturyGothic"/>
          <w:kern w:val="0"/>
        </w:rPr>
      </w:pPr>
      <w:r>
        <w:rPr>
          <w:kern w:val="0"/>
        </w:rPr>
        <w:t>3.</w:t>
      </w:r>
      <w:r>
        <w:rPr>
          <w:kern w:val="0"/>
        </w:rPr>
        <w:tab/>
        <w:t>PN-EN 932-1</w:t>
      </w:r>
      <w:r>
        <w:rPr>
          <w:kern w:val="0"/>
        </w:rPr>
        <w:tab/>
      </w:r>
      <w:r>
        <w:t>Badania podstawowych właściwości kruszyw. Metody pobierania próbek</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4</w:t>
      </w:r>
      <w:r w:rsidR="009301CA" w:rsidRPr="00CD18AA">
        <w:rPr>
          <w:rFonts w:eastAsia="CenturyGothic"/>
          <w:kern w:val="0"/>
        </w:rPr>
        <w:t>.</w:t>
      </w:r>
      <w:r w:rsidR="00CD18AA">
        <w:rPr>
          <w:rFonts w:eastAsia="CenturyGothic"/>
          <w:kern w:val="0"/>
        </w:rPr>
        <w:tab/>
      </w:r>
      <w:r w:rsidR="009301CA" w:rsidRPr="00CD18AA">
        <w:rPr>
          <w:rFonts w:eastAsia="CenturyGothic"/>
          <w:kern w:val="0"/>
        </w:rPr>
        <w:t>PN-EN 932-3</w:t>
      </w:r>
      <w:r w:rsidR="00CD18AA">
        <w:rPr>
          <w:rFonts w:eastAsia="CenturyGothic"/>
          <w:kern w:val="0"/>
        </w:rPr>
        <w:tab/>
      </w:r>
      <w:r w:rsidR="009301CA" w:rsidRPr="00CD18AA">
        <w:rPr>
          <w:rFonts w:eastAsia="CenturyGothic"/>
          <w:kern w:val="0"/>
        </w:rPr>
        <w:t>Badania podstawowych właściwości kruszyw</w:t>
      </w:r>
      <w:r w:rsidR="00CD18AA">
        <w:rPr>
          <w:rFonts w:eastAsia="CenturyGothic"/>
          <w:kern w:val="0"/>
        </w:rPr>
        <w:t>.</w:t>
      </w:r>
      <w:r w:rsidR="009301CA" w:rsidRPr="00CD18AA">
        <w:rPr>
          <w:rFonts w:eastAsia="CenturyGothic"/>
          <w:kern w:val="0"/>
        </w:rPr>
        <w:t xml:space="preserve"> Procedura i terminologia uproszczonego opisu </w:t>
      </w:r>
      <w:r w:rsidR="00CD18AA">
        <w:rPr>
          <w:rFonts w:eastAsia="CenturyGothic"/>
          <w:kern w:val="0"/>
        </w:rPr>
        <w:tab/>
      </w:r>
      <w:r w:rsidR="00CD18AA">
        <w:rPr>
          <w:rFonts w:eastAsia="CenturyGothic"/>
          <w:kern w:val="0"/>
        </w:rPr>
        <w:tab/>
      </w:r>
      <w:r w:rsidR="00CD18AA">
        <w:rPr>
          <w:rFonts w:eastAsia="CenturyGothic"/>
          <w:kern w:val="0"/>
        </w:rPr>
        <w:tab/>
      </w:r>
      <w:r w:rsidR="009301CA" w:rsidRPr="00CD18AA">
        <w:rPr>
          <w:rFonts w:eastAsia="CenturyGothic"/>
          <w:kern w:val="0"/>
        </w:rPr>
        <w:t>petrograficznego.</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5</w:t>
      </w:r>
      <w:r w:rsidR="009301CA" w:rsidRPr="00CD18AA">
        <w:rPr>
          <w:rFonts w:eastAsia="CenturyGothic"/>
          <w:kern w:val="0"/>
        </w:rPr>
        <w:t>.</w:t>
      </w:r>
      <w:r w:rsidR="00CD18AA">
        <w:rPr>
          <w:rFonts w:eastAsia="CenturyGothic"/>
          <w:kern w:val="0"/>
        </w:rPr>
        <w:tab/>
      </w:r>
      <w:r w:rsidR="009301CA" w:rsidRPr="00CD18AA">
        <w:rPr>
          <w:rFonts w:eastAsia="CenturyGothic"/>
          <w:kern w:val="0"/>
        </w:rPr>
        <w:t>PN-EN 932-5</w:t>
      </w:r>
      <w:r w:rsidR="00CD18AA">
        <w:rPr>
          <w:rFonts w:eastAsia="CenturyGothic"/>
          <w:kern w:val="0"/>
        </w:rPr>
        <w:tab/>
      </w:r>
      <w:r w:rsidR="009301CA" w:rsidRPr="00CD18AA">
        <w:rPr>
          <w:rFonts w:eastAsia="CenturyGothic"/>
          <w:kern w:val="0"/>
        </w:rPr>
        <w:t>Badania podstawowych właściwości kruszyw</w:t>
      </w:r>
      <w:r w:rsidR="00CD18AA">
        <w:rPr>
          <w:rFonts w:eastAsia="CenturyGothic"/>
          <w:kern w:val="0"/>
        </w:rPr>
        <w:t>.</w:t>
      </w:r>
      <w:r w:rsidR="009301CA" w:rsidRPr="00CD18AA">
        <w:rPr>
          <w:rFonts w:eastAsia="CenturyGothic"/>
          <w:kern w:val="0"/>
        </w:rPr>
        <w:t xml:space="preserve"> Część 5: Wyposażenie podstawowe i </w:t>
      </w:r>
      <w:r w:rsidR="00CD18AA">
        <w:rPr>
          <w:rFonts w:eastAsia="CenturyGothic"/>
          <w:kern w:val="0"/>
        </w:rPr>
        <w:tab/>
      </w:r>
      <w:r w:rsidR="00CD18AA">
        <w:rPr>
          <w:rFonts w:eastAsia="CenturyGothic"/>
          <w:kern w:val="0"/>
        </w:rPr>
        <w:tab/>
      </w:r>
      <w:r w:rsidR="00CD18AA">
        <w:rPr>
          <w:rFonts w:eastAsia="CenturyGothic"/>
          <w:kern w:val="0"/>
        </w:rPr>
        <w:tab/>
      </w:r>
      <w:r w:rsidR="00CD18AA">
        <w:rPr>
          <w:rFonts w:eastAsia="CenturyGothic"/>
          <w:kern w:val="0"/>
        </w:rPr>
        <w:tab/>
      </w:r>
      <w:r w:rsidR="009301CA" w:rsidRPr="00CD18AA">
        <w:rPr>
          <w:rFonts w:eastAsia="CenturyGothic"/>
          <w:kern w:val="0"/>
        </w:rPr>
        <w:t>wzorcowanie.</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6</w:t>
      </w:r>
      <w:r w:rsidR="009301CA" w:rsidRPr="00CD18AA">
        <w:rPr>
          <w:rFonts w:eastAsia="CenturyGothic"/>
          <w:kern w:val="0"/>
        </w:rPr>
        <w:t>.</w:t>
      </w:r>
      <w:r w:rsidR="00CD18AA">
        <w:rPr>
          <w:rFonts w:eastAsia="CenturyGothic"/>
          <w:kern w:val="0"/>
        </w:rPr>
        <w:tab/>
      </w:r>
      <w:r w:rsidR="009301CA" w:rsidRPr="00CD18AA">
        <w:rPr>
          <w:rFonts w:eastAsia="CenturyGothic"/>
          <w:kern w:val="0"/>
        </w:rPr>
        <w:t>PN-EN 933-1</w:t>
      </w:r>
      <w:r w:rsidR="00CD18AA">
        <w:rPr>
          <w:rFonts w:eastAsia="CenturyGothic"/>
          <w:kern w:val="0"/>
        </w:rPr>
        <w:tab/>
      </w:r>
      <w:r w:rsidR="009301CA" w:rsidRPr="00CD18AA">
        <w:rPr>
          <w:rFonts w:eastAsia="CenturyGothic"/>
          <w:kern w:val="0"/>
        </w:rPr>
        <w:t>Badania geometrycznych właściwości kruszyw</w:t>
      </w:r>
      <w:r w:rsidR="00CD18AA">
        <w:rPr>
          <w:rFonts w:eastAsia="CenturyGothic"/>
          <w:kern w:val="0"/>
        </w:rPr>
        <w:t>.</w:t>
      </w:r>
      <w:r w:rsidR="009301CA" w:rsidRPr="00CD18AA">
        <w:rPr>
          <w:rFonts w:eastAsia="CenturyGothic"/>
          <w:kern w:val="0"/>
        </w:rPr>
        <w:t xml:space="preserve"> Oznaczanie składu ziarnowego. Metoda </w:t>
      </w:r>
      <w:r w:rsidR="00CD18AA">
        <w:rPr>
          <w:rFonts w:eastAsia="CenturyGothic"/>
          <w:kern w:val="0"/>
        </w:rPr>
        <w:tab/>
      </w:r>
      <w:r w:rsidR="00CD18AA">
        <w:rPr>
          <w:rFonts w:eastAsia="CenturyGothic"/>
          <w:kern w:val="0"/>
        </w:rPr>
        <w:tab/>
      </w:r>
      <w:r w:rsidR="00CD18AA">
        <w:rPr>
          <w:rFonts w:eastAsia="CenturyGothic"/>
          <w:kern w:val="0"/>
        </w:rPr>
        <w:tab/>
      </w:r>
      <w:r w:rsidR="009301CA" w:rsidRPr="00CD18AA">
        <w:rPr>
          <w:rFonts w:eastAsia="CenturyGothic"/>
          <w:kern w:val="0"/>
        </w:rPr>
        <w:t>przesiewania.</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7</w:t>
      </w:r>
      <w:r w:rsidR="009301CA" w:rsidRPr="00CD18AA">
        <w:rPr>
          <w:rFonts w:eastAsia="CenturyGothic"/>
          <w:kern w:val="0"/>
        </w:rPr>
        <w:t>.</w:t>
      </w:r>
      <w:r w:rsidR="00CD18AA">
        <w:rPr>
          <w:rFonts w:eastAsia="CenturyGothic"/>
          <w:kern w:val="0"/>
        </w:rPr>
        <w:tab/>
      </w:r>
      <w:r w:rsidR="009301CA" w:rsidRPr="00CD18AA">
        <w:rPr>
          <w:rFonts w:eastAsia="CenturyGothic"/>
          <w:kern w:val="0"/>
        </w:rPr>
        <w:t xml:space="preserve">PN-EN 933-3 </w:t>
      </w:r>
      <w:r w:rsidR="00CD18AA">
        <w:rPr>
          <w:rFonts w:eastAsia="CenturyGothic"/>
          <w:kern w:val="0"/>
        </w:rPr>
        <w:tab/>
      </w:r>
      <w:r w:rsidR="009301CA" w:rsidRPr="00CD18AA">
        <w:rPr>
          <w:rFonts w:eastAsia="CenturyGothic"/>
          <w:kern w:val="0"/>
        </w:rPr>
        <w:t>Badania geometrycznych właściwości kruszyw</w:t>
      </w:r>
      <w:r w:rsidR="00CD18AA">
        <w:rPr>
          <w:rFonts w:eastAsia="CenturyGothic"/>
          <w:kern w:val="0"/>
        </w:rPr>
        <w:t>.</w:t>
      </w:r>
      <w:r w:rsidR="009301CA" w:rsidRPr="00CD18AA">
        <w:rPr>
          <w:rFonts w:eastAsia="CenturyGothic"/>
          <w:kern w:val="0"/>
        </w:rPr>
        <w:t xml:space="preserve"> Oznaczanie kształtu ziaren za pomocą </w:t>
      </w:r>
      <w:r w:rsidR="00CD18AA">
        <w:rPr>
          <w:rFonts w:eastAsia="CenturyGothic"/>
          <w:kern w:val="0"/>
        </w:rPr>
        <w:tab/>
      </w:r>
      <w:r w:rsidR="00CD18AA">
        <w:rPr>
          <w:rFonts w:eastAsia="CenturyGothic"/>
          <w:kern w:val="0"/>
        </w:rPr>
        <w:tab/>
      </w:r>
      <w:r w:rsidR="00CD18AA">
        <w:rPr>
          <w:rFonts w:eastAsia="CenturyGothic"/>
          <w:kern w:val="0"/>
        </w:rPr>
        <w:tab/>
      </w:r>
      <w:r w:rsidR="00CD18AA">
        <w:rPr>
          <w:rFonts w:eastAsia="CenturyGothic"/>
          <w:kern w:val="0"/>
        </w:rPr>
        <w:tab/>
      </w:r>
      <w:r w:rsidR="009301CA" w:rsidRPr="00CD18AA">
        <w:rPr>
          <w:rFonts w:eastAsia="CenturyGothic"/>
          <w:kern w:val="0"/>
        </w:rPr>
        <w:t>wskaźnika płaskości.</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8</w:t>
      </w:r>
      <w:r w:rsidR="009301CA" w:rsidRPr="00CD18AA">
        <w:rPr>
          <w:rFonts w:eastAsia="CenturyGothic"/>
          <w:kern w:val="0"/>
        </w:rPr>
        <w:t>.</w:t>
      </w:r>
      <w:r w:rsidR="00CD18AA">
        <w:rPr>
          <w:rFonts w:eastAsia="CenturyGothic"/>
          <w:kern w:val="0"/>
        </w:rPr>
        <w:tab/>
      </w:r>
      <w:r w:rsidR="009301CA" w:rsidRPr="00CD18AA">
        <w:rPr>
          <w:rFonts w:eastAsia="CenturyGothic"/>
          <w:kern w:val="0"/>
        </w:rPr>
        <w:t>PN-EN 933-4</w:t>
      </w:r>
      <w:r w:rsidR="00CD18AA">
        <w:rPr>
          <w:rFonts w:eastAsia="CenturyGothic"/>
          <w:kern w:val="0"/>
        </w:rPr>
        <w:tab/>
      </w:r>
      <w:r w:rsidR="009301CA" w:rsidRPr="00CD18AA">
        <w:rPr>
          <w:rFonts w:eastAsia="CenturyGothic"/>
          <w:kern w:val="0"/>
        </w:rPr>
        <w:t>Badania geometrycznych właściwości kruszyw</w:t>
      </w:r>
      <w:r w:rsidR="00CD18AA">
        <w:rPr>
          <w:rFonts w:eastAsia="CenturyGothic"/>
          <w:kern w:val="0"/>
        </w:rPr>
        <w:t>.</w:t>
      </w:r>
      <w:r w:rsidR="009301CA" w:rsidRPr="00CD18AA">
        <w:rPr>
          <w:rFonts w:eastAsia="CenturyGothic"/>
          <w:kern w:val="0"/>
        </w:rPr>
        <w:t xml:space="preserve"> Część 4: Oznaczanie kształtu ziaren. </w:t>
      </w:r>
      <w:r w:rsidR="00CD18AA">
        <w:rPr>
          <w:rFonts w:eastAsia="CenturyGothic"/>
          <w:kern w:val="0"/>
        </w:rPr>
        <w:tab/>
      </w:r>
      <w:r w:rsidR="00CD18AA">
        <w:rPr>
          <w:rFonts w:eastAsia="CenturyGothic"/>
          <w:kern w:val="0"/>
        </w:rPr>
        <w:tab/>
      </w:r>
      <w:r w:rsidR="00CD18AA">
        <w:rPr>
          <w:rFonts w:eastAsia="CenturyGothic"/>
          <w:kern w:val="0"/>
        </w:rPr>
        <w:tab/>
      </w:r>
      <w:r w:rsidR="00CD18AA">
        <w:rPr>
          <w:rFonts w:eastAsia="CenturyGothic"/>
          <w:kern w:val="0"/>
        </w:rPr>
        <w:tab/>
      </w:r>
      <w:r w:rsidR="009301CA" w:rsidRPr="00CD18AA">
        <w:rPr>
          <w:rFonts w:eastAsia="CenturyGothic"/>
          <w:kern w:val="0"/>
        </w:rPr>
        <w:t>Wskaźnik kształtu.</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9</w:t>
      </w:r>
      <w:r w:rsidR="009301CA" w:rsidRPr="00CD18AA">
        <w:rPr>
          <w:rFonts w:eastAsia="CenturyGothic"/>
          <w:kern w:val="0"/>
        </w:rPr>
        <w:t>.</w:t>
      </w:r>
      <w:r w:rsidR="00CD18AA">
        <w:rPr>
          <w:rFonts w:eastAsia="CenturyGothic"/>
          <w:kern w:val="0"/>
        </w:rPr>
        <w:tab/>
      </w:r>
      <w:r w:rsidR="009301CA" w:rsidRPr="00CD18AA">
        <w:rPr>
          <w:rFonts w:eastAsia="CenturyGothic"/>
          <w:kern w:val="0"/>
        </w:rPr>
        <w:t>PN-EN 933-5</w:t>
      </w:r>
      <w:r w:rsidR="00CD18AA">
        <w:rPr>
          <w:rFonts w:eastAsia="CenturyGothic"/>
          <w:kern w:val="0"/>
        </w:rPr>
        <w:tab/>
      </w:r>
      <w:r w:rsidR="009301CA" w:rsidRPr="00CD18AA">
        <w:rPr>
          <w:rFonts w:eastAsia="CenturyGothic"/>
          <w:kern w:val="0"/>
        </w:rPr>
        <w:t>Badania geometrycznych właściwości kruszyw</w:t>
      </w:r>
      <w:r w:rsidR="00CD18AA">
        <w:rPr>
          <w:rFonts w:eastAsia="CenturyGothic"/>
          <w:kern w:val="0"/>
        </w:rPr>
        <w:t>.</w:t>
      </w:r>
      <w:r w:rsidR="009301CA" w:rsidRPr="00CD18AA">
        <w:rPr>
          <w:rFonts w:eastAsia="CenturyGothic"/>
          <w:kern w:val="0"/>
        </w:rPr>
        <w:t xml:space="preserve"> Oznaczanie procentowej zawartości ziaren o </w:t>
      </w:r>
      <w:r w:rsidR="00CD18AA">
        <w:rPr>
          <w:rFonts w:eastAsia="CenturyGothic"/>
          <w:kern w:val="0"/>
        </w:rPr>
        <w:tab/>
      </w:r>
      <w:r w:rsidR="00CD18AA">
        <w:rPr>
          <w:rFonts w:eastAsia="CenturyGothic"/>
          <w:kern w:val="0"/>
        </w:rPr>
        <w:tab/>
      </w:r>
      <w:r w:rsidR="00CD18AA">
        <w:rPr>
          <w:rFonts w:eastAsia="CenturyGothic"/>
          <w:kern w:val="0"/>
        </w:rPr>
        <w:tab/>
      </w:r>
      <w:r w:rsidR="009301CA" w:rsidRPr="00CD18AA">
        <w:rPr>
          <w:rFonts w:eastAsia="CenturyGothic"/>
          <w:kern w:val="0"/>
        </w:rPr>
        <w:t>powierzchniach powstałych w wyniku przekruszenia lub łamania kruszyw grubych.</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10</w:t>
      </w:r>
      <w:r w:rsidR="009301CA" w:rsidRPr="00CD18AA">
        <w:rPr>
          <w:rFonts w:eastAsia="CenturyGothic"/>
          <w:kern w:val="0"/>
        </w:rPr>
        <w:t>.</w:t>
      </w:r>
      <w:r w:rsidR="00CD18AA">
        <w:rPr>
          <w:rFonts w:eastAsia="CenturyGothic"/>
          <w:kern w:val="0"/>
        </w:rPr>
        <w:tab/>
      </w:r>
      <w:r w:rsidR="009301CA" w:rsidRPr="00CD18AA">
        <w:rPr>
          <w:rFonts w:eastAsia="CenturyGothic"/>
          <w:kern w:val="0"/>
        </w:rPr>
        <w:t>PN-EN 933-8</w:t>
      </w:r>
      <w:r w:rsidR="00CD18AA">
        <w:rPr>
          <w:rFonts w:eastAsia="CenturyGothic"/>
          <w:kern w:val="0"/>
        </w:rPr>
        <w:tab/>
      </w:r>
      <w:r w:rsidR="009301CA" w:rsidRPr="00CD18AA">
        <w:rPr>
          <w:rFonts w:eastAsia="CenturyGothic"/>
          <w:kern w:val="0"/>
        </w:rPr>
        <w:t>Badania geometrycznych właściwości kruszyw</w:t>
      </w:r>
      <w:r w:rsidR="00CD18AA">
        <w:rPr>
          <w:rFonts w:eastAsia="CenturyGothic"/>
          <w:kern w:val="0"/>
        </w:rPr>
        <w:t>.</w:t>
      </w:r>
      <w:r w:rsidR="009301CA" w:rsidRPr="00CD18AA">
        <w:rPr>
          <w:rFonts w:eastAsia="CenturyGothic"/>
          <w:kern w:val="0"/>
        </w:rPr>
        <w:t xml:space="preserve"> Część 8: Ocena zawartości drobnych </w:t>
      </w:r>
      <w:r w:rsidR="00CD18AA">
        <w:rPr>
          <w:rFonts w:eastAsia="CenturyGothic"/>
          <w:kern w:val="0"/>
        </w:rPr>
        <w:tab/>
      </w:r>
      <w:r w:rsidR="00CD18AA">
        <w:rPr>
          <w:rFonts w:eastAsia="CenturyGothic"/>
          <w:kern w:val="0"/>
        </w:rPr>
        <w:tab/>
      </w:r>
      <w:r w:rsidR="00CD18AA">
        <w:rPr>
          <w:rFonts w:eastAsia="CenturyGothic"/>
          <w:kern w:val="0"/>
        </w:rPr>
        <w:tab/>
      </w:r>
      <w:r w:rsidR="00CD18AA">
        <w:rPr>
          <w:rFonts w:eastAsia="CenturyGothic"/>
          <w:kern w:val="0"/>
        </w:rPr>
        <w:tab/>
      </w:r>
      <w:r w:rsidR="009301CA" w:rsidRPr="00CD18AA">
        <w:rPr>
          <w:rFonts w:eastAsia="CenturyGothic"/>
          <w:kern w:val="0"/>
        </w:rPr>
        <w:t>cząstek</w:t>
      </w:r>
      <w:r w:rsidR="00CD18AA">
        <w:rPr>
          <w:rFonts w:eastAsia="CenturyGothic"/>
          <w:kern w:val="0"/>
        </w:rPr>
        <w:t>.</w:t>
      </w:r>
      <w:r w:rsidR="009301CA" w:rsidRPr="00CD18AA">
        <w:rPr>
          <w:rFonts w:eastAsia="CenturyGothic"/>
          <w:kern w:val="0"/>
        </w:rPr>
        <w:t xml:space="preserve"> </w:t>
      </w:r>
      <w:r w:rsidR="00CD18AA">
        <w:rPr>
          <w:rFonts w:eastAsia="CenturyGothic"/>
          <w:kern w:val="0"/>
        </w:rPr>
        <w:tab/>
      </w:r>
      <w:r w:rsidR="009301CA" w:rsidRPr="00CD18AA">
        <w:rPr>
          <w:rFonts w:eastAsia="CenturyGothic"/>
          <w:kern w:val="0"/>
        </w:rPr>
        <w:t>Badania wskaźnika piaskowego.</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1</w:t>
      </w:r>
      <w:r w:rsidRPr="00CD18AA">
        <w:rPr>
          <w:rFonts w:eastAsia="CenturyGothic"/>
          <w:kern w:val="0"/>
        </w:rPr>
        <w:t>.</w:t>
      </w:r>
      <w:r w:rsidR="00CD18AA">
        <w:rPr>
          <w:rFonts w:eastAsia="CenturyGothic"/>
          <w:kern w:val="0"/>
        </w:rPr>
        <w:tab/>
      </w:r>
      <w:r w:rsidRPr="00CD18AA">
        <w:rPr>
          <w:rFonts w:eastAsia="CenturyGothic"/>
          <w:kern w:val="0"/>
        </w:rPr>
        <w:t>PN-EN 933-9</w:t>
      </w:r>
      <w:r w:rsidR="00CD18AA">
        <w:rPr>
          <w:rFonts w:eastAsia="CenturyGothic"/>
          <w:kern w:val="0"/>
        </w:rPr>
        <w:tab/>
      </w:r>
      <w:r w:rsidRPr="00CD18AA">
        <w:rPr>
          <w:rFonts w:eastAsia="CenturyGothic"/>
          <w:kern w:val="0"/>
        </w:rPr>
        <w:t>Badania geometrycznych właściwości kruszyw</w:t>
      </w:r>
      <w:r w:rsidR="00FD2BBD">
        <w:rPr>
          <w:rFonts w:eastAsia="CenturyGothic"/>
          <w:kern w:val="0"/>
        </w:rPr>
        <w:t>.</w:t>
      </w:r>
      <w:r w:rsidRPr="00CD18AA">
        <w:rPr>
          <w:rFonts w:eastAsia="CenturyGothic"/>
          <w:kern w:val="0"/>
        </w:rPr>
        <w:t xml:space="preserve"> Ocena zawartości drobnych cząstek.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Badania błękitem metylenowym.</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2</w:t>
      </w:r>
      <w:r w:rsidRPr="00CD18AA">
        <w:rPr>
          <w:rFonts w:eastAsia="CenturyGothic"/>
          <w:kern w:val="0"/>
        </w:rPr>
        <w:t>.</w:t>
      </w:r>
      <w:r w:rsidR="00FD2BBD">
        <w:rPr>
          <w:rFonts w:eastAsia="CenturyGothic"/>
          <w:kern w:val="0"/>
        </w:rPr>
        <w:tab/>
      </w:r>
      <w:r w:rsidRPr="00CD18AA">
        <w:rPr>
          <w:rFonts w:eastAsia="CenturyGothic"/>
          <w:kern w:val="0"/>
        </w:rPr>
        <w:t>PN-EN 1008</w:t>
      </w:r>
      <w:r w:rsidR="00FD2BBD">
        <w:rPr>
          <w:rFonts w:eastAsia="CenturyGothic"/>
          <w:kern w:val="0"/>
        </w:rPr>
        <w:tab/>
      </w:r>
      <w:r w:rsidRPr="00CD18AA">
        <w:rPr>
          <w:rFonts w:eastAsia="CenturyGothic"/>
          <w:kern w:val="0"/>
        </w:rPr>
        <w:t>Woda zarobowa do betonu</w:t>
      </w:r>
      <w:r w:rsidR="00FD2BBD">
        <w:rPr>
          <w:rFonts w:eastAsia="CenturyGothic"/>
          <w:kern w:val="0"/>
        </w:rPr>
        <w:t>.</w:t>
      </w:r>
      <w:r w:rsidRPr="00CD18AA">
        <w:rPr>
          <w:rFonts w:eastAsia="CenturyGothic"/>
          <w:kern w:val="0"/>
        </w:rPr>
        <w:t xml:space="preserve"> Specyfikacja pobierania pr</w:t>
      </w:r>
      <w:r w:rsidR="00473871">
        <w:rPr>
          <w:rFonts w:eastAsia="CenturyGothic"/>
          <w:kern w:val="0"/>
        </w:rPr>
        <w:t>ó</w:t>
      </w:r>
      <w:r w:rsidRPr="00CD18AA">
        <w:rPr>
          <w:rFonts w:eastAsia="CenturyGothic"/>
          <w:kern w:val="0"/>
        </w:rPr>
        <w:t xml:space="preserve">bek, badanie i ocena przydatności </w:t>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wody zarobowej do betonu, w tym wody odzyskanej z proces</w:t>
      </w:r>
      <w:r w:rsidR="00FD2BBD">
        <w:rPr>
          <w:rFonts w:eastAsia="CenturyGothic"/>
          <w:kern w:val="0"/>
        </w:rPr>
        <w:t>ó</w:t>
      </w:r>
      <w:r w:rsidRPr="00CD18AA">
        <w:rPr>
          <w:rFonts w:eastAsia="CenturyGothic"/>
          <w:kern w:val="0"/>
        </w:rPr>
        <w:t>w produkcji betonu.</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3</w:t>
      </w:r>
      <w:r w:rsidRPr="00CD18AA">
        <w:rPr>
          <w:rFonts w:eastAsia="CenturyGothic"/>
          <w:kern w:val="0"/>
        </w:rPr>
        <w:t>.</w:t>
      </w:r>
      <w:r w:rsidR="00FD2BBD">
        <w:rPr>
          <w:rFonts w:eastAsia="CenturyGothic"/>
          <w:kern w:val="0"/>
        </w:rPr>
        <w:tab/>
      </w:r>
      <w:r w:rsidRPr="00CD18AA">
        <w:rPr>
          <w:rFonts w:eastAsia="CenturyGothic"/>
          <w:kern w:val="0"/>
        </w:rPr>
        <w:t>PN-EN 1097-1</w:t>
      </w:r>
      <w:r w:rsidR="00FD2BBD">
        <w:rPr>
          <w:rFonts w:eastAsia="CenturyGothic"/>
          <w:kern w:val="0"/>
        </w:rPr>
        <w:tab/>
      </w:r>
      <w:r w:rsidRPr="00CD18AA">
        <w:rPr>
          <w:rFonts w:eastAsia="CenturyGothic"/>
          <w:kern w:val="0"/>
        </w:rPr>
        <w:t>Badania mechanicznych i fizycznych właściwości kruszyw</w:t>
      </w:r>
      <w:r w:rsidR="00FD2BBD">
        <w:rPr>
          <w:rFonts w:eastAsia="CenturyGothic"/>
          <w:kern w:val="0"/>
        </w:rPr>
        <w:t>.</w:t>
      </w:r>
      <w:r w:rsidRPr="00CD18AA">
        <w:rPr>
          <w:rFonts w:eastAsia="CenturyGothic"/>
          <w:kern w:val="0"/>
        </w:rPr>
        <w:t xml:space="preserve"> Oznaczanie odporności na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ścieranie (mikro-Deval).</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4</w:t>
      </w:r>
      <w:r w:rsidRPr="00CD18AA">
        <w:rPr>
          <w:rFonts w:eastAsia="CenturyGothic"/>
          <w:kern w:val="0"/>
        </w:rPr>
        <w:t>.</w:t>
      </w:r>
      <w:r w:rsidR="00FD2BBD">
        <w:rPr>
          <w:rFonts w:eastAsia="CenturyGothic"/>
          <w:kern w:val="0"/>
        </w:rPr>
        <w:tab/>
      </w:r>
      <w:r w:rsidRPr="00CD18AA">
        <w:rPr>
          <w:rFonts w:eastAsia="CenturyGothic"/>
          <w:kern w:val="0"/>
        </w:rPr>
        <w:t>PN-EN 1097-2</w:t>
      </w:r>
      <w:r w:rsidR="00FD2BBD">
        <w:rPr>
          <w:rFonts w:eastAsia="CenturyGothic"/>
          <w:kern w:val="0"/>
        </w:rPr>
        <w:tab/>
      </w:r>
      <w:r w:rsidRPr="00CD18AA">
        <w:rPr>
          <w:rFonts w:eastAsia="CenturyGothic"/>
          <w:kern w:val="0"/>
        </w:rPr>
        <w:t>Badania mechanicznych i fizycznych właściwości kruszyw</w:t>
      </w:r>
      <w:r w:rsidR="00FD2BBD">
        <w:rPr>
          <w:rFonts w:eastAsia="CenturyGothic"/>
          <w:kern w:val="0"/>
        </w:rPr>
        <w:t>.</w:t>
      </w:r>
      <w:r w:rsidRPr="00CD18AA">
        <w:rPr>
          <w:rFonts w:eastAsia="CenturyGothic"/>
          <w:kern w:val="0"/>
        </w:rPr>
        <w:t xml:space="preserve"> Metody oznaczania odporności </w:t>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na rozdrabnianie.</w:t>
      </w:r>
    </w:p>
    <w:p w:rsidR="008E6D07" w:rsidRDefault="008E6D07" w:rsidP="00917119">
      <w:pPr>
        <w:numPr>
          <w:ilvl w:val="0"/>
          <w:numId w:val="0"/>
        </w:numPr>
        <w:overflowPunct/>
        <w:ind w:left="426" w:hanging="426"/>
        <w:jc w:val="left"/>
        <w:textAlignment w:val="auto"/>
        <w:rPr>
          <w:rFonts w:eastAsia="CenturyGothic"/>
          <w:kern w:val="0"/>
        </w:rPr>
      </w:pPr>
      <w:r w:rsidRPr="005038AA">
        <w:rPr>
          <w:rFonts w:eastAsia="CenturyGothic"/>
          <w:kern w:val="0"/>
        </w:rPr>
        <w:t>15.</w:t>
      </w:r>
      <w:r w:rsidRPr="005038AA">
        <w:rPr>
          <w:rFonts w:eastAsia="CenturyGothic"/>
          <w:kern w:val="0"/>
        </w:rPr>
        <w:tab/>
        <w:t>PN-EN 1097-5</w:t>
      </w:r>
      <w:r w:rsidR="00EF5DF7">
        <w:rPr>
          <w:rFonts w:eastAsia="CenturyGothic"/>
          <w:kern w:val="0"/>
        </w:rPr>
        <w:tab/>
      </w:r>
      <w:r w:rsidR="00EF5DF7">
        <w:t>Badania mechanicznych i fizycznych właściwości kruszyw</w:t>
      </w:r>
      <w:r w:rsidR="005038AA">
        <w:t>.</w:t>
      </w:r>
      <w:r w:rsidR="00EF5DF7">
        <w:t xml:space="preserve"> Część 5: Oznaczanie zawartości </w:t>
      </w:r>
      <w:r w:rsidR="005038AA">
        <w:tab/>
      </w:r>
      <w:r w:rsidR="005038AA">
        <w:tab/>
      </w:r>
      <w:r w:rsidR="005038AA">
        <w:tab/>
      </w:r>
      <w:r w:rsidR="00EF5DF7">
        <w:t>wody przez suszenie w suszarce z wentylacją</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5</w:t>
      </w:r>
      <w:r w:rsidRPr="00CD18AA">
        <w:rPr>
          <w:rFonts w:eastAsia="CenturyGothic"/>
          <w:kern w:val="0"/>
        </w:rPr>
        <w:t>.</w:t>
      </w:r>
      <w:r w:rsidR="00FD2BBD">
        <w:rPr>
          <w:rFonts w:eastAsia="CenturyGothic"/>
          <w:kern w:val="0"/>
        </w:rPr>
        <w:tab/>
      </w:r>
      <w:r w:rsidRPr="00CD18AA">
        <w:rPr>
          <w:rFonts w:eastAsia="CenturyGothic"/>
          <w:kern w:val="0"/>
        </w:rPr>
        <w:t>PN-EN 1097-6</w:t>
      </w:r>
      <w:r w:rsidR="00FD2BBD">
        <w:rPr>
          <w:rFonts w:eastAsia="CenturyGothic"/>
          <w:kern w:val="0"/>
        </w:rPr>
        <w:tab/>
      </w:r>
      <w:r w:rsidRPr="00CD18AA">
        <w:rPr>
          <w:rFonts w:eastAsia="CenturyGothic"/>
          <w:kern w:val="0"/>
        </w:rPr>
        <w:t>Badania mechanicznych i fizycznych właściwości kruszyw</w:t>
      </w:r>
      <w:r w:rsidR="00FD2BBD">
        <w:rPr>
          <w:rFonts w:eastAsia="CenturyGothic"/>
          <w:kern w:val="0"/>
        </w:rPr>
        <w:t>.</w:t>
      </w:r>
      <w:r w:rsidRPr="00CD18AA">
        <w:rPr>
          <w:rFonts w:eastAsia="CenturyGothic"/>
          <w:kern w:val="0"/>
        </w:rPr>
        <w:t xml:space="preserve"> Część 6: Oznaczanie gęstości </w:t>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ziaren i nasiąkliwości.</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6</w:t>
      </w:r>
      <w:r w:rsidRPr="00CD18AA">
        <w:rPr>
          <w:rFonts w:eastAsia="CenturyGothic"/>
          <w:kern w:val="0"/>
        </w:rPr>
        <w:t>.</w:t>
      </w:r>
      <w:r w:rsidR="00FD2BBD">
        <w:rPr>
          <w:rFonts w:eastAsia="CenturyGothic"/>
          <w:kern w:val="0"/>
        </w:rPr>
        <w:tab/>
      </w:r>
      <w:r w:rsidRPr="00CD18AA">
        <w:rPr>
          <w:rFonts w:eastAsia="CenturyGothic"/>
          <w:kern w:val="0"/>
        </w:rPr>
        <w:t>PN-EN 1367-l</w:t>
      </w:r>
      <w:r w:rsidR="00FD2BBD">
        <w:rPr>
          <w:rFonts w:eastAsia="CenturyGothic"/>
          <w:kern w:val="0"/>
        </w:rPr>
        <w:tab/>
      </w:r>
      <w:r w:rsidRPr="00CD18AA">
        <w:rPr>
          <w:rFonts w:eastAsia="CenturyGothic"/>
          <w:kern w:val="0"/>
        </w:rPr>
        <w:t>Badania właściwości cieplnych i odporności kruszyw na działanie czynnik</w:t>
      </w:r>
      <w:r w:rsidR="00FD2BBD">
        <w:rPr>
          <w:rFonts w:eastAsia="CenturyGothic"/>
          <w:kern w:val="0"/>
        </w:rPr>
        <w:t>ó</w:t>
      </w:r>
      <w:r w:rsidRPr="00CD18AA">
        <w:rPr>
          <w:rFonts w:eastAsia="CenturyGothic"/>
          <w:kern w:val="0"/>
        </w:rPr>
        <w:t xml:space="preserve">w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atmosferycznych</w:t>
      </w:r>
      <w:r w:rsidR="00FD2BBD">
        <w:rPr>
          <w:rFonts w:eastAsia="CenturyGothic"/>
          <w:kern w:val="0"/>
        </w:rPr>
        <w:t>.</w:t>
      </w:r>
      <w:r w:rsidRPr="00CD18AA">
        <w:rPr>
          <w:rFonts w:eastAsia="CenturyGothic"/>
          <w:kern w:val="0"/>
        </w:rPr>
        <w:t xml:space="preserve"> Część 1: Oznaczanie mrozoodporności.</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7</w:t>
      </w:r>
      <w:r w:rsidRPr="00CD18AA">
        <w:rPr>
          <w:rFonts w:eastAsia="CenturyGothic"/>
          <w:kern w:val="0"/>
        </w:rPr>
        <w:t>.</w:t>
      </w:r>
      <w:r w:rsidR="00FD2BBD">
        <w:rPr>
          <w:rFonts w:eastAsia="CenturyGothic"/>
          <w:kern w:val="0"/>
        </w:rPr>
        <w:tab/>
      </w:r>
      <w:r w:rsidRPr="00CD18AA">
        <w:rPr>
          <w:rFonts w:eastAsia="CenturyGothic"/>
          <w:kern w:val="0"/>
        </w:rPr>
        <w:t>PN-EN 1367-2</w:t>
      </w:r>
      <w:r w:rsidR="00FD2BBD">
        <w:rPr>
          <w:rFonts w:eastAsia="CenturyGothic"/>
          <w:kern w:val="0"/>
        </w:rPr>
        <w:tab/>
      </w:r>
      <w:r w:rsidRPr="00CD18AA">
        <w:rPr>
          <w:rFonts w:eastAsia="CenturyGothic"/>
          <w:kern w:val="0"/>
        </w:rPr>
        <w:t>Badania właściwości cieplnych i odporności kruszyw na działanie czynnik</w:t>
      </w:r>
      <w:r w:rsidR="00FD2BBD">
        <w:rPr>
          <w:rFonts w:eastAsia="CenturyGothic"/>
          <w:kern w:val="0"/>
        </w:rPr>
        <w:t>ó</w:t>
      </w:r>
      <w:r w:rsidRPr="00CD18AA">
        <w:rPr>
          <w:rFonts w:eastAsia="CenturyGothic"/>
          <w:kern w:val="0"/>
        </w:rPr>
        <w:t xml:space="preserve">w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atmosferycznych</w:t>
      </w:r>
      <w:r w:rsidR="00FD2BBD">
        <w:rPr>
          <w:rFonts w:eastAsia="CenturyGothic"/>
          <w:kern w:val="0"/>
        </w:rPr>
        <w:t>.</w:t>
      </w:r>
      <w:r w:rsidRPr="00CD18AA">
        <w:rPr>
          <w:rFonts w:eastAsia="CenturyGothic"/>
          <w:kern w:val="0"/>
        </w:rPr>
        <w:t xml:space="preserve"> Badanie w siarczanie magnezu.</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1</w:t>
      </w:r>
      <w:r w:rsidR="00E97644">
        <w:rPr>
          <w:rFonts w:eastAsia="CenturyGothic"/>
          <w:kern w:val="0"/>
        </w:rPr>
        <w:t>8</w:t>
      </w:r>
      <w:r w:rsidRPr="00CD18AA">
        <w:rPr>
          <w:rFonts w:eastAsia="CenturyGothic"/>
          <w:kern w:val="0"/>
        </w:rPr>
        <w:t>.</w:t>
      </w:r>
      <w:r w:rsidR="00FD2BBD">
        <w:rPr>
          <w:rFonts w:eastAsia="CenturyGothic"/>
          <w:kern w:val="0"/>
        </w:rPr>
        <w:tab/>
      </w:r>
      <w:r w:rsidRPr="00CD18AA">
        <w:rPr>
          <w:rFonts w:eastAsia="CenturyGothic"/>
          <w:kern w:val="0"/>
        </w:rPr>
        <w:t>PN-EN 367-3</w:t>
      </w:r>
      <w:r w:rsidR="00FD2BBD">
        <w:rPr>
          <w:rFonts w:eastAsia="CenturyGothic"/>
          <w:kern w:val="0"/>
        </w:rPr>
        <w:tab/>
      </w:r>
      <w:r w:rsidRPr="00CD18AA">
        <w:rPr>
          <w:rFonts w:eastAsia="CenturyGothic"/>
          <w:kern w:val="0"/>
        </w:rPr>
        <w:t>Badania właściwości cieplnych i odporności kruszyw na działanie czynnik</w:t>
      </w:r>
      <w:r w:rsidR="00FD2BBD">
        <w:rPr>
          <w:rFonts w:eastAsia="CenturyGothic"/>
          <w:kern w:val="0"/>
        </w:rPr>
        <w:t>ó</w:t>
      </w:r>
      <w:r w:rsidRPr="00CD18AA">
        <w:rPr>
          <w:rFonts w:eastAsia="CenturyGothic"/>
          <w:kern w:val="0"/>
        </w:rPr>
        <w:t xml:space="preserve">w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atmosferycznych</w:t>
      </w:r>
      <w:r w:rsidR="00FD2BBD">
        <w:rPr>
          <w:rFonts w:eastAsia="CenturyGothic"/>
          <w:kern w:val="0"/>
        </w:rPr>
        <w:t>.</w:t>
      </w:r>
      <w:r w:rsidRPr="00CD18AA">
        <w:rPr>
          <w:rFonts w:eastAsia="CenturyGothic"/>
          <w:kern w:val="0"/>
        </w:rPr>
        <w:t xml:space="preserve"> Część 3: Badanie bazaltowej zgorzeli słonecznej metoda gotowania.</w:t>
      </w:r>
    </w:p>
    <w:p w:rsidR="009301CA" w:rsidRPr="00CD18AA" w:rsidRDefault="00FD2BBD" w:rsidP="00917119">
      <w:pPr>
        <w:numPr>
          <w:ilvl w:val="0"/>
          <w:numId w:val="0"/>
        </w:numPr>
        <w:overflowPunct/>
        <w:ind w:left="426" w:hanging="426"/>
        <w:jc w:val="left"/>
        <w:textAlignment w:val="auto"/>
        <w:rPr>
          <w:rFonts w:eastAsia="CenturyGothic"/>
          <w:kern w:val="0"/>
        </w:rPr>
      </w:pPr>
      <w:r>
        <w:rPr>
          <w:rFonts w:eastAsia="CenturyGothic"/>
          <w:kern w:val="0"/>
        </w:rPr>
        <w:t>1</w:t>
      </w:r>
      <w:r w:rsidR="00E97644">
        <w:rPr>
          <w:rFonts w:eastAsia="CenturyGothic"/>
          <w:kern w:val="0"/>
        </w:rPr>
        <w:t>9</w:t>
      </w:r>
      <w:r>
        <w:rPr>
          <w:rFonts w:eastAsia="CenturyGothic"/>
          <w:kern w:val="0"/>
        </w:rPr>
        <w:t>.</w:t>
      </w:r>
      <w:r>
        <w:rPr>
          <w:rFonts w:eastAsia="CenturyGothic"/>
          <w:kern w:val="0"/>
        </w:rPr>
        <w:tab/>
      </w:r>
      <w:r w:rsidR="009301CA" w:rsidRPr="00CD18AA">
        <w:rPr>
          <w:rFonts w:eastAsia="CenturyGothic"/>
          <w:kern w:val="0"/>
        </w:rPr>
        <w:t>PN-EN 1744-1</w:t>
      </w:r>
      <w:r>
        <w:rPr>
          <w:rFonts w:eastAsia="CenturyGothic"/>
          <w:kern w:val="0"/>
        </w:rPr>
        <w:tab/>
      </w:r>
      <w:r w:rsidR="009301CA" w:rsidRPr="00CD18AA">
        <w:rPr>
          <w:rFonts w:eastAsia="CenturyGothic"/>
          <w:kern w:val="0"/>
        </w:rPr>
        <w:t>Badania chemicznych właściwości kruszyw</w:t>
      </w:r>
      <w:r>
        <w:rPr>
          <w:rFonts w:eastAsia="CenturyGothic"/>
          <w:kern w:val="0"/>
        </w:rPr>
        <w:t>.</w:t>
      </w:r>
      <w:r w:rsidR="009301CA" w:rsidRPr="00CD18AA">
        <w:rPr>
          <w:rFonts w:eastAsia="CenturyGothic"/>
          <w:kern w:val="0"/>
        </w:rPr>
        <w:t xml:space="preserve"> Analiza chemiczna.</w:t>
      </w:r>
    </w:p>
    <w:p w:rsidR="009301CA" w:rsidRPr="00CD18AA" w:rsidRDefault="00E97644" w:rsidP="00917119">
      <w:pPr>
        <w:numPr>
          <w:ilvl w:val="0"/>
          <w:numId w:val="0"/>
        </w:numPr>
        <w:overflowPunct/>
        <w:ind w:left="426" w:hanging="426"/>
        <w:jc w:val="left"/>
        <w:textAlignment w:val="auto"/>
        <w:rPr>
          <w:rFonts w:eastAsia="CenturyGothic"/>
          <w:kern w:val="0"/>
        </w:rPr>
      </w:pPr>
      <w:r>
        <w:rPr>
          <w:rFonts w:eastAsia="CenturyGothic"/>
          <w:kern w:val="0"/>
        </w:rPr>
        <w:t>20</w:t>
      </w:r>
      <w:r w:rsidR="009301CA" w:rsidRPr="00CD18AA">
        <w:rPr>
          <w:rFonts w:eastAsia="CenturyGothic"/>
          <w:kern w:val="0"/>
        </w:rPr>
        <w:t>.</w:t>
      </w:r>
      <w:r w:rsidR="00FD2BBD">
        <w:rPr>
          <w:rFonts w:eastAsia="CenturyGothic"/>
          <w:kern w:val="0"/>
        </w:rPr>
        <w:tab/>
      </w:r>
      <w:r w:rsidR="009301CA" w:rsidRPr="00CD18AA">
        <w:rPr>
          <w:rFonts w:eastAsia="CenturyGothic"/>
          <w:kern w:val="0"/>
        </w:rPr>
        <w:t>PN-EN 1744-3</w:t>
      </w:r>
      <w:r w:rsidR="00FD2BBD">
        <w:rPr>
          <w:rFonts w:eastAsia="CenturyGothic"/>
          <w:kern w:val="0"/>
        </w:rPr>
        <w:tab/>
      </w:r>
      <w:r w:rsidR="009301CA" w:rsidRPr="00CD18AA">
        <w:rPr>
          <w:rFonts w:eastAsia="CenturyGothic"/>
          <w:kern w:val="0"/>
        </w:rPr>
        <w:t>Badania chemicznych właściwości kruszyw</w:t>
      </w:r>
      <w:r w:rsidR="00FD2BBD">
        <w:rPr>
          <w:rFonts w:eastAsia="CenturyGothic"/>
          <w:kern w:val="0"/>
        </w:rPr>
        <w:t>.</w:t>
      </w:r>
      <w:r w:rsidR="009301CA" w:rsidRPr="00CD18AA">
        <w:rPr>
          <w:rFonts w:eastAsia="CenturyGothic"/>
          <w:kern w:val="0"/>
        </w:rPr>
        <w:t xml:space="preserve"> Część 3: Przygotowanie wyciąg</w:t>
      </w:r>
      <w:r w:rsidR="00FD2BBD">
        <w:rPr>
          <w:rFonts w:eastAsia="CenturyGothic"/>
          <w:kern w:val="0"/>
        </w:rPr>
        <w:t>ó</w:t>
      </w:r>
      <w:r w:rsidR="009301CA" w:rsidRPr="00CD18AA">
        <w:rPr>
          <w:rFonts w:eastAsia="CenturyGothic"/>
          <w:kern w:val="0"/>
        </w:rPr>
        <w:t xml:space="preserve">w przez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009301CA" w:rsidRPr="00CD18AA">
        <w:rPr>
          <w:rFonts w:eastAsia="CenturyGothic"/>
          <w:kern w:val="0"/>
        </w:rPr>
        <w:t>wymywanie kruszyw.</w:t>
      </w:r>
    </w:p>
    <w:p w:rsidR="009301CA" w:rsidRPr="00CD18AA" w:rsidRDefault="00FD2BBD" w:rsidP="00917119">
      <w:pPr>
        <w:numPr>
          <w:ilvl w:val="0"/>
          <w:numId w:val="0"/>
        </w:numPr>
        <w:overflowPunct/>
        <w:ind w:left="426" w:hanging="426"/>
        <w:jc w:val="left"/>
        <w:textAlignment w:val="auto"/>
        <w:rPr>
          <w:rFonts w:eastAsia="CenturyGothic"/>
          <w:kern w:val="0"/>
        </w:rPr>
      </w:pPr>
      <w:r>
        <w:rPr>
          <w:rFonts w:eastAsia="CenturyGothic"/>
          <w:kern w:val="0"/>
        </w:rPr>
        <w:t>2</w:t>
      </w:r>
      <w:r w:rsidR="00E97644">
        <w:rPr>
          <w:rFonts w:eastAsia="CenturyGothic"/>
          <w:kern w:val="0"/>
        </w:rPr>
        <w:t>1</w:t>
      </w:r>
      <w:r w:rsidR="009301CA" w:rsidRPr="00CD18AA">
        <w:rPr>
          <w:rFonts w:eastAsia="CenturyGothic"/>
          <w:kern w:val="0"/>
        </w:rPr>
        <w:t>.</w:t>
      </w:r>
      <w:r>
        <w:rPr>
          <w:rFonts w:eastAsia="CenturyGothic"/>
          <w:kern w:val="0"/>
        </w:rPr>
        <w:tab/>
      </w:r>
      <w:r w:rsidR="009301CA" w:rsidRPr="00CD18AA">
        <w:rPr>
          <w:rFonts w:eastAsia="CenturyGothic"/>
          <w:kern w:val="0"/>
        </w:rPr>
        <w:t>PN-ISO 565</w:t>
      </w:r>
      <w:r>
        <w:rPr>
          <w:rFonts w:eastAsia="CenturyGothic"/>
          <w:kern w:val="0"/>
        </w:rPr>
        <w:tab/>
      </w:r>
      <w:r w:rsidR="009301CA" w:rsidRPr="00CD18AA">
        <w:rPr>
          <w:rFonts w:eastAsia="CenturyGothic"/>
          <w:kern w:val="0"/>
        </w:rPr>
        <w:t>Sita kontrolne</w:t>
      </w:r>
      <w:r>
        <w:rPr>
          <w:rFonts w:eastAsia="CenturyGothic"/>
          <w:kern w:val="0"/>
        </w:rPr>
        <w:t>.</w:t>
      </w:r>
      <w:r w:rsidR="009301CA" w:rsidRPr="00CD18AA">
        <w:rPr>
          <w:rFonts w:eastAsia="CenturyGothic"/>
          <w:kern w:val="0"/>
        </w:rPr>
        <w:t xml:space="preserve"> Tkanina z drutu, blacha perforowana i blacha cienka perforowana </w:t>
      </w:r>
      <w:r>
        <w:rPr>
          <w:rFonts w:eastAsia="CenturyGothic"/>
          <w:kern w:val="0"/>
        </w:rPr>
        <w:tab/>
      </w:r>
      <w:r>
        <w:rPr>
          <w:rFonts w:eastAsia="CenturyGothic"/>
          <w:kern w:val="0"/>
        </w:rPr>
        <w:tab/>
      </w:r>
      <w:r>
        <w:rPr>
          <w:rFonts w:eastAsia="CenturyGothic"/>
          <w:kern w:val="0"/>
        </w:rPr>
        <w:tab/>
      </w:r>
      <w:r>
        <w:rPr>
          <w:rFonts w:eastAsia="CenturyGothic"/>
          <w:kern w:val="0"/>
        </w:rPr>
        <w:tab/>
      </w:r>
      <w:r w:rsidR="009301CA" w:rsidRPr="00CD18AA">
        <w:rPr>
          <w:rFonts w:eastAsia="CenturyGothic"/>
          <w:kern w:val="0"/>
        </w:rPr>
        <w:t>elektrochemicznie</w:t>
      </w:r>
      <w:r>
        <w:rPr>
          <w:rFonts w:eastAsia="CenturyGothic"/>
          <w:kern w:val="0"/>
        </w:rPr>
        <w:t>.</w:t>
      </w:r>
      <w:r w:rsidR="009301CA" w:rsidRPr="00CD18AA">
        <w:rPr>
          <w:rFonts w:eastAsia="CenturyGothic"/>
          <w:kern w:val="0"/>
        </w:rPr>
        <w:t xml:space="preserve"> Wymiary nominalne oczek.</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2</w:t>
      </w:r>
      <w:r w:rsidR="00E97644">
        <w:rPr>
          <w:rFonts w:eastAsia="CenturyGothic"/>
          <w:kern w:val="0"/>
        </w:rPr>
        <w:t>2</w:t>
      </w:r>
      <w:r w:rsidRPr="00CD18AA">
        <w:rPr>
          <w:rFonts w:eastAsia="CenturyGothic"/>
          <w:kern w:val="0"/>
        </w:rPr>
        <w:t>.</w:t>
      </w:r>
      <w:r w:rsidR="00FD2BBD">
        <w:rPr>
          <w:rFonts w:eastAsia="CenturyGothic"/>
          <w:kern w:val="0"/>
        </w:rPr>
        <w:tab/>
      </w:r>
      <w:r w:rsidRPr="00CD18AA">
        <w:rPr>
          <w:rFonts w:eastAsia="CenturyGothic"/>
          <w:kern w:val="0"/>
        </w:rPr>
        <w:t>PN-EN 13286-1</w:t>
      </w:r>
      <w:r w:rsidR="00FD2BBD">
        <w:rPr>
          <w:rFonts w:eastAsia="CenturyGothic"/>
          <w:kern w:val="0"/>
        </w:rPr>
        <w:tab/>
      </w:r>
      <w:r w:rsidRPr="00CD18AA">
        <w:rPr>
          <w:rFonts w:eastAsia="CenturyGothic"/>
          <w:kern w:val="0"/>
        </w:rPr>
        <w:t>Mieszanki mineralne niezwiązane i związane spoiwem hydraulicznym</w:t>
      </w:r>
      <w:r w:rsidR="00FD2BBD">
        <w:rPr>
          <w:rFonts w:eastAsia="CenturyGothic"/>
          <w:kern w:val="0"/>
        </w:rPr>
        <w:t>.</w:t>
      </w:r>
      <w:r w:rsidRPr="00CD18AA">
        <w:rPr>
          <w:rFonts w:eastAsia="CenturyGothic"/>
          <w:kern w:val="0"/>
        </w:rPr>
        <w:t xml:space="preserve"> Część 1: Metody </w:t>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badań dla ustalonej laboratoryjnie referencyjnej gęstości i wilgotności</w:t>
      </w:r>
      <w:r w:rsidR="00FD2BBD">
        <w:rPr>
          <w:rFonts w:eastAsia="CenturyGothic"/>
          <w:kern w:val="0"/>
        </w:rPr>
        <w:t>.</w:t>
      </w:r>
      <w:r w:rsidRPr="00CD18AA">
        <w:rPr>
          <w:rFonts w:eastAsia="CenturyGothic"/>
          <w:kern w:val="0"/>
        </w:rPr>
        <w:t xml:space="preserve"> Wprowadzenie i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wymagania og</w:t>
      </w:r>
      <w:r w:rsidR="00FD2BBD">
        <w:rPr>
          <w:rFonts w:eastAsia="CenturyGothic"/>
          <w:kern w:val="0"/>
        </w:rPr>
        <w:t>ó</w:t>
      </w:r>
      <w:r w:rsidRPr="00CD18AA">
        <w:rPr>
          <w:rFonts w:eastAsia="CenturyGothic"/>
          <w:kern w:val="0"/>
        </w:rPr>
        <w:t>lne.</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2</w:t>
      </w:r>
      <w:r w:rsidR="00E97644">
        <w:rPr>
          <w:rFonts w:eastAsia="CenturyGothic"/>
          <w:kern w:val="0"/>
        </w:rPr>
        <w:t>3</w:t>
      </w:r>
      <w:r w:rsidRPr="00CD18AA">
        <w:rPr>
          <w:rFonts w:eastAsia="CenturyGothic"/>
          <w:kern w:val="0"/>
        </w:rPr>
        <w:t>.</w:t>
      </w:r>
      <w:r w:rsidR="00FD2BBD">
        <w:rPr>
          <w:rFonts w:eastAsia="CenturyGothic"/>
          <w:kern w:val="0"/>
        </w:rPr>
        <w:tab/>
      </w:r>
      <w:r w:rsidRPr="00CD18AA">
        <w:rPr>
          <w:rFonts w:eastAsia="CenturyGothic"/>
          <w:kern w:val="0"/>
        </w:rPr>
        <w:t>PN-EN 13286-2</w:t>
      </w:r>
      <w:r w:rsidR="00FD2BBD">
        <w:rPr>
          <w:rFonts w:eastAsia="CenturyGothic"/>
          <w:kern w:val="0"/>
        </w:rPr>
        <w:tab/>
      </w:r>
      <w:r w:rsidRPr="00CD18AA">
        <w:rPr>
          <w:rFonts w:eastAsia="CenturyGothic"/>
          <w:kern w:val="0"/>
        </w:rPr>
        <w:t>Mieszanki mineralne niezwiązane i związane spoiwem hydraulicznym</w:t>
      </w:r>
      <w:r w:rsidR="00FD2BBD">
        <w:rPr>
          <w:rFonts w:eastAsia="CenturyGothic"/>
          <w:kern w:val="0"/>
        </w:rPr>
        <w:t>.</w:t>
      </w:r>
      <w:r w:rsidRPr="00CD18AA">
        <w:rPr>
          <w:rFonts w:eastAsia="CenturyGothic"/>
          <w:kern w:val="0"/>
        </w:rPr>
        <w:t xml:space="preserve"> Część 2: Metody </w:t>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badań dla ustalonej laboratoryjnie gęstości i wilgotności</w:t>
      </w:r>
      <w:r w:rsidR="00FD2BBD">
        <w:rPr>
          <w:rFonts w:eastAsia="CenturyGothic"/>
          <w:kern w:val="0"/>
        </w:rPr>
        <w:t>.</w:t>
      </w:r>
      <w:r w:rsidRPr="00CD18AA">
        <w:rPr>
          <w:rFonts w:eastAsia="CenturyGothic"/>
          <w:kern w:val="0"/>
        </w:rPr>
        <w:t xml:space="preserve"> Zagęszczanie aparatem Proctora.</w:t>
      </w:r>
    </w:p>
    <w:p w:rsidR="009301CA" w:rsidRPr="00CD18A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2</w:t>
      </w:r>
      <w:r w:rsidR="00E97644">
        <w:rPr>
          <w:rFonts w:eastAsia="CenturyGothic"/>
          <w:kern w:val="0"/>
        </w:rPr>
        <w:t>4</w:t>
      </w:r>
      <w:r w:rsidRPr="00CD18AA">
        <w:rPr>
          <w:rFonts w:eastAsia="CenturyGothic"/>
          <w:kern w:val="0"/>
        </w:rPr>
        <w:t>.</w:t>
      </w:r>
      <w:r w:rsidR="00FD2BBD">
        <w:rPr>
          <w:rFonts w:eastAsia="CenturyGothic"/>
          <w:kern w:val="0"/>
        </w:rPr>
        <w:tab/>
      </w:r>
      <w:r w:rsidRPr="00CD18AA">
        <w:rPr>
          <w:rFonts w:eastAsia="CenturyGothic"/>
          <w:kern w:val="0"/>
        </w:rPr>
        <w:t xml:space="preserve">PN-EN 13286-47 </w:t>
      </w:r>
      <w:r w:rsidR="00FD2BBD">
        <w:rPr>
          <w:rFonts w:eastAsia="CenturyGothic"/>
          <w:kern w:val="0"/>
        </w:rPr>
        <w:tab/>
      </w:r>
      <w:r w:rsidRPr="00CD18AA">
        <w:rPr>
          <w:rFonts w:eastAsia="CenturyGothic"/>
          <w:kern w:val="0"/>
        </w:rPr>
        <w:t>Mieszanki mineralne niezwiązane i związane spoiwem hydraulicznym</w:t>
      </w:r>
      <w:r w:rsidR="00FD2BBD">
        <w:rPr>
          <w:rFonts w:eastAsia="CenturyGothic"/>
          <w:kern w:val="0"/>
        </w:rPr>
        <w:t>.</w:t>
      </w:r>
      <w:r w:rsidRPr="00CD18AA">
        <w:rPr>
          <w:rFonts w:eastAsia="CenturyGothic"/>
          <w:kern w:val="0"/>
        </w:rPr>
        <w:t xml:space="preserve"> Część 47: Metody </w:t>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 xml:space="preserve">badań dla określenia nośności, kalifornijski wskaźnik nośności CBR, natychmiastowy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wskaźnik nośności i pęcznienia liniowego.</w:t>
      </w:r>
    </w:p>
    <w:p w:rsidR="009301CA" w:rsidRDefault="009301CA" w:rsidP="00917119">
      <w:pPr>
        <w:numPr>
          <w:ilvl w:val="0"/>
          <w:numId w:val="0"/>
        </w:numPr>
        <w:overflowPunct/>
        <w:ind w:left="426" w:hanging="426"/>
        <w:jc w:val="left"/>
        <w:textAlignment w:val="auto"/>
        <w:rPr>
          <w:rFonts w:eastAsia="CenturyGothic"/>
          <w:kern w:val="0"/>
        </w:rPr>
      </w:pPr>
      <w:r w:rsidRPr="00CD18AA">
        <w:rPr>
          <w:rFonts w:eastAsia="CenturyGothic"/>
          <w:kern w:val="0"/>
        </w:rPr>
        <w:t>2</w:t>
      </w:r>
      <w:r w:rsidR="00E97644">
        <w:rPr>
          <w:rFonts w:eastAsia="CenturyGothic"/>
          <w:kern w:val="0"/>
        </w:rPr>
        <w:t>5</w:t>
      </w:r>
      <w:r w:rsidRPr="00CD18AA">
        <w:rPr>
          <w:rFonts w:eastAsia="CenturyGothic"/>
          <w:kern w:val="0"/>
        </w:rPr>
        <w:t>.</w:t>
      </w:r>
      <w:r w:rsidR="00FD2BBD">
        <w:rPr>
          <w:rFonts w:eastAsia="CenturyGothic"/>
          <w:kern w:val="0"/>
        </w:rPr>
        <w:tab/>
      </w:r>
      <w:r w:rsidRPr="00CD18AA">
        <w:rPr>
          <w:rFonts w:eastAsia="CenturyGothic"/>
          <w:kern w:val="0"/>
        </w:rPr>
        <w:t>PN-EN 13286-50</w:t>
      </w:r>
      <w:r w:rsidR="00FD2BBD">
        <w:rPr>
          <w:rFonts w:eastAsia="CenturyGothic"/>
          <w:kern w:val="0"/>
        </w:rPr>
        <w:tab/>
      </w:r>
      <w:r w:rsidRPr="00CD18AA">
        <w:rPr>
          <w:rFonts w:eastAsia="CenturyGothic"/>
          <w:kern w:val="0"/>
        </w:rPr>
        <w:t xml:space="preserve">Mieszanki mineralne niezwiązane i związane spoiwem hydraulicznym - Metody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sporządzenia pr</w:t>
      </w:r>
      <w:r w:rsidR="00FD2BBD">
        <w:rPr>
          <w:rFonts w:eastAsia="CenturyGothic"/>
          <w:kern w:val="0"/>
        </w:rPr>
        <w:t>ó</w:t>
      </w:r>
      <w:r w:rsidRPr="00CD18AA">
        <w:rPr>
          <w:rFonts w:eastAsia="CenturyGothic"/>
          <w:kern w:val="0"/>
        </w:rPr>
        <w:t>bek badawczych</w:t>
      </w:r>
      <w:r w:rsidR="00FD2BBD">
        <w:rPr>
          <w:rFonts w:eastAsia="CenturyGothic"/>
          <w:kern w:val="0"/>
        </w:rPr>
        <w:t>.</w:t>
      </w:r>
      <w:r w:rsidRPr="00CD18AA">
        <w:rPr>
          <w:rFonts w:eastAsia="CenturyGothic"/>
          <w:kern w:val="0"/>
        </w:rPr>
        <w:t xml:space="preserve"> Część 50: Metoda sporządzania pr</w:t>
      </w:r>
      <w:r w:rsidR="00FD2BBD">
        <w:rPr>
          <w:rFonts w:eastAsia="CenturyGothic"/>
          <w:kern w:val="0"/>
        </w:rPr>
        <w:t>ó</w:t>
      </w:r>
      <w:r w:rsidRPr="00CD18AA">
        <w:rPr>
          <w:rFonts w:eastAsia="CenturyGothic"/>
          <w:kern w:val="0"/>
        </w:rPr>
        <w:t xml:space="preserve">bek związanych </w:t>
      </w:r>
      <w:r w:rsidR="00FD2BBD">
        <w:rPr>
          <w:rFonts w:eastAsia="CenturyGothic"/>
          <w:kern w:val="0"/>
        </w:rPr>
        <w:tab/>
      </w:r>
      <w:r w:rsidR="00FD2BBD">
        <w:rPr>
          <w:rFonts w:eastAsia="CenturyGothic"/>
          <w:kern w:val="0"/>
        </w:rPr>
        <w:tab/>
      </w:r>
      <w:r w:rsidR="00FD2BBD">
        <w:rPr>
          <w:rFonts w:eastAsia="CenturyGothic"/>
          <w:kern w:val="0"/>
        </w:rPr>
        <w:tab/>
      </w:r>
      <w:r w:rsidR="00FD2BBD">
        <w:rPr>
          <w:rFonts w:eastAsia="CenturyGothic"/>
          <w:kern w:val="0"/>
        </w:rPr>
        <w:tab/>
      </w:r>
      <w:r w:rsidRPr="00CD18AA">
        <w:rPr>
          <w:rFonts w:eastAsia="CenturyGothic"/>
          <w:kern w:val="0"/>
        </w:rPr>
        <w:t>hydraulicznie za pomocą aparatu Proctora lub zagęszczania na stole wibracyjnym.</w:t>
      </w:r>
    </w:p>
    <w:p w:rsidR="00DC2FF7" w:rsidRPr="0057573D" w:rsidRDefault="005038AA" w:rsidP="00917119">
      <w:pPr>
        <w:numPr>
          <w:ilvl w:val="0"/>
          <w:numId w:val="0"/>
        </w:numPr>
        <w:overflowPunct/>
        <w:ind w:left="426" w:hanging="426"/>
        <w:jc w:val="left"/>
        <w:textAlignment w:val="auto"/>
      </w:pPr>
      <w:r w:rsidRPr="0057573D">
        <w:t>26.</w:t>
      </w:r>
      <w:r w:rsidRPr="0057573D">
        <w:tab/>
      </w:r>
      <w:r w:rsidR="00DC2FF7" w:rsidRPr="0057573D">
        <w:t>BN-77/8931-</w:t>
      </w:r>
      <w:r w:rsidR="0057573D" w:rsidRPr="0057573D">
        <w:t>0</w:t>
      </w:r>
      <w:r w:rsidR="00DC2FF7" w:rsidRPr="0057573D">
        <w:t>2</w:t>
      </w:r>
      <w:r w:rsidRPr="0057573D">
        <w:tab/>
      </w:r>
      <w:r w:rsidR="0057573D" w:rsidRPr="0057573D">
        <w:t>Oznaczanie modułu odkształcenia nawierzchni podatnych i podłoża przez obciążenie płytą.</w:t>
      </w:r>
    </w:p>
    <w:p w:rsidR="00DC2FF7" w:rsidRDefault="005038AA" w:rsidP="00917119">
      <w:pPr>
        <w:numPr>
          <w:ilvl w:val="0"/>
          <w:numId w:val="0"/>
        </w:numPr>
        <w:overflowPunct/>
        <w:ind w:left="426" w:hanging="426"/>
        <w:jc w:val="left"/>
        <w:textAlignment w:val="auto"/>
        <w:rPr>
          <w:rFonts w:eastAsia="CenturyGothic"/>
          <w:kern w:val="0"/>
        </w:rPr>
      </w:pPr>
      <w:r w:rsidRPr="0057573D">
        <w:rPr>
          <w:rFonts w:eastAsia="CenturyGothic"/>
          <w:kern w:val="0"/>
        </w:rPr>
        <w:t>27.</w:t>
      </w:r>
      <w:r w:rsidRPr="0057573D">
        <w:rPr>
          <w:rFonts w:eastAsia="CenturyGothic"/>
          <w:kern w:val="0"/>
        </w:rPr>
        <w:tab/>
      </w:r>
      <w:r w:rsidR="00DC2FF7" w:rsidRPr="0057573D">
        <w:rPr>
          <w:rFonts w:eastAsia="CenturyGothic"/>
          <w:kern w:val="0"/>
        </w:rPr>
        <w:t>BN-64/8931-</w:t>
      </w:r>
      <w:r w:rsidR="0057573D" w:rsidRPr="0057573D">
        <w:rPr>
          <w:rFonts w:eastAsia="CenturyGothic"/>
          <w:kern w:val="0"/>
        </w:rPr>
        <w:t>1</w:t>
      </w:r>
      <w:r w:rsidR="00DC2FF7" w:rsidRPr="0057573D">
        <w:rPr>
          <w:rFonts w:eastAsia="CenturyGothic"/>
          <w:kern w:val="0"/>
        </w:rPr>
        <w:t>2</w:t>
      </w:r>
      <w:r w:rsidRPr="0057573D">
        <w:rPr>
          <w:rFonts w:eastAsia="CenturyGothic"/>
          <w:kern w:val="0"/>
        </w:rPr>
        <w:tab/>
      </w:r>
      <w:r w:rsidR="0057573D" w:rsidRPr="0057573D">
        <w:rPr>
          <w:rFonts w:eastAsia="CenturyGothic"/>
          <w:kern w:val="0"/>
        </w:rPr>
        <w:t>Oznaczanie wskaźnika zagęszczenia gruntu.</w:t>
      </w:r>
    </w:p>
    <w:p w:rsidR="00024412" w:rsidRPr="0001545B" w:rsidRDefault="00024412" w:rsidP="00917119">
      <w:pPr>
        <w:numPr>
          <w:ilvl w:val="0"/>
          <w:numId w:val="0"/>
        </w:numPr>
        <w:overflowPunct/>
        <w:ind w:left="426" w:hanging="426"/>
        <w:jc w:val="left"/>
        <w:textAlignment w:val="auto"/>
        <w:rPr>
          <w:rFonts w:eastAsia="CenturyGothic"/>
          <w:kern w:val="0"/>
        </w:rPr>
      </w:pPr>
      <w:r w:rsidRPr="0001545B">
        <w:rPr>
          <w:rFonts w:eastAsia="CenturyGothic"/>
          <w:kern w:val="0"/>
        </w:rPr>
        <w:t xml:space="preserve">28. </w:t>
      </w:r>
      <w:r w:rsidRPr="0001545B">
        <w:rPr>
          <w:rFonts w:eastAsia="CenturyGothic"/>
          <w:kern w:val="0"/>
        </w:rPr>
        <w:tab/>
        <w:t>PN-S-02205:1998</w:t>
      </w:r>
      <w:r w:rsidRPr="0001545B">
        <w:rPr>
          <w:rFonts w:eastAsia="CenturyGothic"/>
          <w:kern w:val="0"/>
        </w:rPr>
        <w:tab/>
      </w:r>
      <w:r w:rsidRPr="0001545B">
        <w:t>Drogi samochodowe - Roboty ziemne - Wymagania i badania</w:t>
      </w:r>
    </w:p>
    <w:p w:rsidR="007C3D00" w:rsidRPr="00E44392" w:rsidRDefault="007C3D00" w:rsidP="00917119">
      <w:pPr>
        <w:pStyle w:val="Nagwek2"/>
      </w:pPr>
      <w:r w:rsidRPr="00E44392">
        <w:lastRenderedPageBreak/>
        <w:t>10.2. Inne dokumenty</w:t>
      </w:r>
    </w:p>
    <w:p w:rsidR="009301CA" w:rsidRDefault="00FD2BBD" w:rsidP="00917119">
      <w:pPr>
        <w:pStyle w:val="Default"/>
        <w:ind w:left="426" w:hanging="426"/>
        <w:rPr>
          <w:sz w:val="20"/>
          <w:szCs w:val="20"/>
        </w:rPr>
      </w:pPr>
      <w:r w:rsidRPr="00FD2BBD">
        <w:rPr>
          <w:sz w:val="20"/>
          <w:szCs w:val="20"/>
        </w:rPr>
        <w:t>2</w:t>
      </w:r>
      <w:r w:rsidR="005038AA">
        <w:rPr>
          <w:sz w:val="20"/>
          <w:szCs w:val="20"/>
        </w:rPr>
        <w:t>8</w:t>
      </w:r>
      <w:r w:rsidR="009301CA" w:rsidRPr="00FD2BBD">
        <w:rPr>
          <w:sz w:val="20"/>
          <w:szCs w:val="20"/>
        </w:rPr>
        <w:t>.</w:t>
      </w:r>
      <w:r w:rsidR="009301CA" w:rsidRPr="00FD2BBD">
        <w:rPr>
          <w:sz w:val="20"/>
          <w:szCs w:val="20"/>
        </w:rPr>
        <w:tab/>
      </w:r>
      <w:r w:rsidR="009301CA">
        <w:rPr>
          <w:sz w:val="20"/>
          <w:szCs w:val="20"/>
        </w:rPr>
        <w:t>Mieszanki niezwiązane do dróg krajowych. WT-4 2010. Wymagania techniczne (zalecone do stosowania w specyfikacji technicznej na roboty budowlane na drogach krajowych wg zarządzenia nr 102 GDDKiA z dnia 19.11.2010 r.)</w:t>
      </w:r>
    </w:p>
    <w:p w:rsidR="009301CA" w:rsidRDefault="00FD2BBD" w:rsidP="00917119">
      <w:pPr>
        <w:pStyle w:val="Default"/>
        <w:ind w:left="426" w:hanging="426"/>
        <w:rPr>
          <w:bCs/>
          <w:sz w:val="20"/>
          <w:szCs w:val="20"/>
        </w:rPr>
      </w:pPr>
      <w:r w:rsidRPr="00E97644">
        <w:rPr>
          <w:sz w:val="20"/>
          <w:szCs w:val="20"/>
        </w:rPr>
        <w:t>2</w:t>
      </w:r>
      <w:r w:rsidR="005038AA">
        <w:rPr>
          <w:sz w:val="20"/>
          <w:szCs w:val="20"/>
        </w:rPr>
        <w:t>9</w:t>
      </w:r>
      <w:r w:rsidR="009301CA" w:rsidRPr="00E97644">
        <w:rPr>
          <w:sz w:val="20"/>
          <w:szCs w:val="20"/>
        </w:rPr>
        <w:t>.</w:t>
      </w:r>
      <w:r w:rsidR="009301CA" w:rsidRPr="00E97644">
        <w:rPr>
          <w:sz w:val="20"/>
          <w:szCs w:val="20"/>
        </w:rPr>
        <w:tab/>
        <w:t xml:space="preserve">Katalog typowych konstrukcji nawierzchni podatnych i półsztywnych. </w:t>
      </w:r>
      <w:r w:rsidR="00E97644" w:rsidRPr="00E97644">
        <w:rPr>
          <w:bCs/>
          <w:sz w:val="20"/>
          <w:szCs w:val="20"/>
        </w:rPr>
        <w:t>Załącznik do zarządzenia Nr 31 Generalnego Dyrektora Dróg Krajowych i Autostrad z dnia 16.06.2014 r.</w:t>
      </w:r>
    </w:p>
    <w:p w:rsidR="00024412" w:rsidRPr="0001545B" w:rsidRDefault="00024412" w:rsidP="00917119">
      <w:pPr>
        <w:pStyle w:val="Default"/>
        <w:ind w:left="426" w:hanging="426"/>
        <w:rPr>
          <w:color w:val="auto"/>
          <w:sz w:val="20"/>
          <w:szCs w:val="20"/>
        </w:rPr>
      </w:pPr>
      <w:r w:rsidRPr="0001545B">
        <w:rPr>
          <w:bCs/>
          <w:color w:val="auto"/>
          <w:sz w:val="20"/>
          <w:szCs w:val="20"/>
        </w:rPr>
        <w:t>30.</w:t>
      </w:r>
      <w:r w:rsidRPr="0001545B">
        <w:rPr>
          <w:bCs/>
          <w:color w:val="auto"/>
          <w:sz w:val="20"/>
          <w:szCs w:val="20"/>
        </w:rPr>
        <w:tab/>
        <w:t>Rozporządzenie Ministra Transportu i Gospodarki Morskiej z dnia 2 marca 1999 r. w sprawie warunków technicznych, jakim powinny odpowiadać drogi publiczne i ich usytuowanie (</w:t>
      </w:r>
      <w:r w:rsidR="0001545B" w:rsidRPr="0001545B">
        <w:rPr>
          <w:bCs/>
          <w:color w:val="auto"/>
          <w:sz w:val="20"/>
          <w:szCs w:val="20"/>
        </w:rPr>
        <w:t xml:space="preserve">tekst jednolity: </w:t>
      </w:r>
      <w:r w:rsidRPr="0001545B">
        <w:rPr>
          <w:bCs/>
          <w:color w:val="auto"/>
          <w:sz w:val="20"/>
          <w:szCs w:val="20"/>
        </w:rPr>
        <w:t>Dz. U. z 2016 r. poz. 124 z późniejszymi zmianami).</w:t>
      </w:r>
    </w:p>
    <w:sectPr w:rsidR="00024412" w:rsidRPr="0001545B" w:rsidSect="004D43A8">
      <w:headerReference w:type="even" r:id="rId9"/>
      <w:footerReference w:type="even" r:id="rId10"/>
      <w:type w:val="oddPage"/>
      <w:pgSz w:w="11907" w:h="16840" w:code="9"/>
      <w:pgMar w:top="851" w:right="851" w:bottom="851" w:left="1418" w:header="170" w:footer="170"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26B7B" w:rsidRDefault="00A26B7B">
      <w:r>
        <w:separator/>
      </w:r>
    </w:p>
    <w:p w:rsidR="00A26B7B" w:rsidRDefault="00A26B7B"/>
    <w:p w:rsidR="00A26B7B" w:rsidRDefault="00A26B7B"/>
    <w:p w:rsidR="00A26B7B" w:rsidRDefault="00A26B7B"/>
  </w:endnote>
  <w:endnote w:type="continuationSeparator" w:id="0">
    <w:p w:rsidR="00A26B7B" w:rsidRDefault="00A26B7B">
      <w:r>
        <w:continuationSeparator/>
      </w:r>
    </w:p>
    <w:p w:rsidR="00A26B7B" w:rsidRDefault="00A26B7B"/>
    <w:p w:rsidR="00A26B7B" w:rsidRDefault="00A26B7B"/>
    <w:p w:rsidR="00A26B7B" w:rsidRDefault="00A26B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Gothic">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A0C5A" w:rsidRPr="00A1665E" w:rsidRDefault="00DA0C5A" w:rsidP="00EE7A91">
    <w:pPr>
      <w:pStyle w:val="Stopka"/>
      <w:pBdr>
        <w:top w:val="single" w:sz="4" w:space="0" w:color="auto"/>
      </w:pBdr>
      <w:rPr>
        <w:szCs w:val="16"/>
      </w:rPr>
    </w:pP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26B7B" w:rsidRDefault="00A26B7B">
      <w:r>
        <w:separator/>
      </w:r>
    </w:p>
    <w:p w:rsidR="00A26B7B" w:rsidRDefault="00A26B7B"/>
    <w:p w:rsidR="00A26B7B" w:rsidRDefault="00A26B7B"/>
    <w:p w:rsidR="00A26B7B" w:rsidRDefault="00A26B7B"/>
  </w:footnote>
  <w:footnote w:type="continuationSeparator" w:id="0">
    <w:p w:rsidR="00A26B7B" w:rsidRDefault="00A26B7B">
      <w:r>
        <w:continuationSeparator/>
      </w:r>
    </w:p>
    <w:p w:rsidR="00A26B7B" w:rsidRDefault="00A26B7B"/>
    <w:p w:rsidR="00A26B7B" w:rsidRDefault="00A26B7B"/>
    <w:p w:rsidR="00A26B7B" w:rsidRDefault="00A26B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A0C5A" w:rsidRPr="00C11B56" w:rsidRDefault="00C11B56" w:rsidP="00C11B56">
    <w:pPr>
      <w:pStyle w:val="Nagwek"/>
      <w:pBdr>
        <w:bottom w:val="single" w:sz="4" w:space="0" w:color="auto"/>
      </w:pBdr>
      <w:tabs>
        <w:tab w:val="clear" w:pos="4820"/>
        <w:tab w:val="clear" w:pos="9638"/>
        <w:tab w:val="left" w:pos="3093"/>
      </w:tabs>
      <w:rPr>
        <w:i w:val="0"/>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A5599"/>
    <w:multiLevelType w:val="hybridMultilevel"/>
    <w:tmpl w:val="262A96A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1FB93C98"/>
    <w:multiLevelType w:val="hybridMultilevel"/>
    <w:tmpl w:val="BD8631EC"/>
    <w:lvl w:ilvl="0" w:tplc="99862B00">
      <w:start w:val="1"/>
      <w:numFmt w:val="decimal"/>
      <w:pStyle w:val="punkty"/>
      <w:lvlText w:val="%1."/>
      <w:lvlJc w:val="left"/>
      <w:pPr>
        <w:tabs>
          <w:tab w:val="num" w:pos="360"/>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12538C4"/>
    <w:multiLevelType w:val="hybridMultilevel"/>
    <w:tmpl w:val="013CA0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B21DFB"/>
    <w:multiLevelType w:val="hybridMultilevel"/>
    <w:tmpl w:val="005037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7B92FB3"/>
    <w:multiLevelType w:val="hybridMultilevel"/>
    <w:tmpl w:val="29B69E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B621962"/>
    <w:multiLevelType w:val="singleLevel"/>
    <w:tmpl w:val="D392421A"/>
    <w:lvl w:ilvl="0">
      <w:start w:val="3"/>
      <w:numFmt w:val="decimal"/>
      <w:lvlText w:val="1.%1."/>
      <w:legacy w:legacy="1" w:legacySpace="0" w:legacyIndent="335"/>
      <w:lvlJc w:val="left"/>
      <w:rPr>
        <w:rFonts w:ascii="Times New Roman" w:hAnsi="Times New Roman" w:cs="Times New Roman" w:hint="default"/>
      </w:rPr>
    </w:lvl>
  </w:abstractNum>
  <w:abstractNum w:abstractNumId="6" w15:restartNumberingAfterBreak="0">
    <w:nsid w:val="33725154"/>
    <w:multiLevelType w:val="hybridMultilevel"/>
    <w:tmpl w:val="B2D40A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3935502"/>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8" w15:restartNumberingAfterBreak="0">
    <w:nsid w:val="3F57381E"/>
    <w:multiLevelType w:val="hybridMultilevel"/>
    <w:tmpl w:val="DC5A1D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C87E9A"/>
    <w:multiLevelType w:val="hybridMultilevel"/>
    <w:tmpl w:val="56CAFCDA"/>
    <w:lvl w:ilvl="0" w:tplc="EE1C603C">
      <w:start w:val="1"/>
      <w:numFmt w:val="bullet"/>
      <w:pStyle w:val="myslnik"/>
      <w:lvlText w:val="-"/>
      <w:lvlJc w:val="left"/>
      <w:pPr>
        <w:tabs>
          <w:tab w:val="num" w:pos="721"/>
        </w:tabs>
        <w:ind w:left="721" w:hanging="360"/>
      </w:pPr>
      <w:rPr>
        <w:rFonts w:ascii="Times New Roman" w:hAnsi="Times New Roman" w:cs="Times New Roman" w:hint="default"/>
      </w:rPr>
    </w:lvl>
    <w:lvl w:ilvl="1" w:tplc="04150003" w:tentative="1">
      <w:start w:val="1"/>
      <w:numFmt w:val="bullet"/>
      <w:lvlText w:val="o"/>
      <w:lvlJc w:val="left"/>
      <w:pPr>
        <w:tabs>
          <w:tab w:val="num" w:pos="1441"/>
        </w:tabs>
        <w:ind w:left="1441" w:hanging="360"/>
      </w:pPr>
      <w:rPr>
        <w:rFonts w:ascii="Courier New" w:hAnsi="Courier New" w:hint="default"/>
      </w:rPr>
    </w:lvl>
    <w:lvl w:ilvl="2" w:tplc="04150005" w:tentative="1">
      <w:start w:val="1"/>
      <w:numFmt w:val="bullet"/>
      <w:lvlText w:val=""/>
      <w:lvlJc w:val="left"/>
      <w:pPr>
        <w:tabs>
          <w:tab w:val="num" w:pos="2161"/>
        </w:tabs>
        <w:ind w:left="2161" w:hanging="360"/>
      </w:pPr>
      <w:rPr>
        <w:rFonts w:ascii="Wingdings" w:hAnsi="Wingdings" w:hint="default"/>
      </w:rPr>
    </w:lvl>
    <w:lvl w:ilvl="3" w:tplc="04150001" w:tentative="1">
      <w:start w:val="1"/>
      <w:numFmt w:val="bullet"/>
      <w:lvlText w:val=""/>
      <w:lvlJc w:val="left"/>
      <w:pPr>
        <w:tabs>
          <w:tab w:val="num" w:pos="2881"/>
        </w:tabs>
        <w:ind w:left="2881" w:hanging="360"/>
      </w:pPr>
      <w:rPr>
        <w:rFonts w:ascii="Symbol" w:hAnsi="Symbol" w:hint="default"/>
      </w:rPr>
    </w:lvl>
    <w:lvl w:ilvl="4" w:tplc="04150003" w:tentative="1">
      <w:start w:val="1"/>
      <w:numFmt w:val="bullet"/>
      <w:lvlText w:val="o"/>
      <w:lvlJc w:val="left"/>
      <w:pPr>
        <w:tabs>
          <w:tab w:val="num" w:pos="3601"/>
        </w:tabs>
        <w:ind w:left="3601" w:hanging="360"/>
      </w:pPr>
      <w:rPr>
        <w:rFonts w:ascii="Courier New" w:hAnsi="Courier New" w:hint="default"/>
      </w:rPr>
    </w:lvl>
    <w:lvl w:ilvl="5" w:tplc="04150005" w:tentative="1">
      <w:start w:val="1"/>
      <w:numFmt w:val="bullet"/>
      <w:lvlText w:val=""/>
      <w:lvlJc w:val="left"/>
      <w:pPr>
        <w:tabs>
          <w:tab w:val="num" w:pos="4321"/>
        </w:tabs>
        <w:ind w:left="4321" w:hanging="360"/>
      </w:pPr>
      <w:rPr>
        <w:rFonts w:ascii="Wingdings" w:hAnsi="Wingdings" w:hint="default"/>
      </w:rPr>
    </w:lvl>
    <w:lvl w:ilvl="6" w:tplc="04150001" w:tentative="1">
      <w:start w:val="1"/>
      <w:numFmt w:val="bullet"/>
      <w:lvlText w:val=""/>
      <w:lvlJc w:val="left"/>
      <w:pPr>
        <w:tabs>
          <w:tab w:val="num" w:pos="5041"/>
        </w:tabs>
        <w:ind w:left="5041" w:hanging="360"/>
      </w:pPr>
      <w:rPr>
        <w:rFonts w:ascii="Symbol" w:hAnsi="Symbol" w:hint="default"/>
      </w:rPr>
    </w:lvl>
    <w:lvl w:ilvl="7" w:tplc="04150003" w:tentative="1">
      <w:start w:val="1"/>
      <w:numFmt w:val="bullet"/>
      <w:lvlText w:val="o"/>
      <w:lvlJc w:val="left"/>
      <w:pPr>
        <w:tabs>
          <w:tab w:val="num" w:pos="5761"/>
        </w:tabs>
        <w:ind w:left="5761" w:hanging="360"/>
      </w:pPr>
      <w:rPr>
        <w:rFonts w:ascii="Courier New" w:hAnsi="Courier New" w:hint="default"/>
      </w:rPr>
    </w:lvl>
    <w:lvl w:ilvl="8" w:tplc="04150005" w:tentative="1">
      <w:start w:val="1"/>
      <w:numFmt w:val="bullet"/>
      <w:lvlText w:val=""/>
      <w:lvlJc w:val="left"/>
      <w:pPr>
        <w:tabs>
          <w:tab w:val="num" w:pos="6481"/>
        </w:tabs>
        <w:ind w:left="6481" w:hanging="360"/>
      </w:pPr>
      <w:rPr>
        <w:rFonts w:ascii="Wingdings" w:hAnsi="Wingdings" w:hint="default"/>
      </w:rPr>
    </w:lvl>
  </w:abstractNum>
  <w:abstractNum w:abstractNumId="10" w15:restartNumberingAfterBreak="0">
    <w:nsid w:val="4F0D6A58"/>
    <w:multiLevelType w:val="hybridMultilevel"/>
    <w:tmpl w:val="0F4E9B50"/>
    <w:lvl w:ilvl="0" w:tplc="54A8437E">
      <w:start w:val="1"/>
      <w:numFmt w:val="lowerLetter"/>
      <w:pStyle w:val="abc"/>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A536121"/>
    <w:multiLevelType w:val="singleLevel"/>
    <w:tmpl w:val="FECA29B0"/>
    <w:lvl w:ilvl="0">
      <w:start w:val="2"/>
      <w:numFmt w:val="bullet"/>
      <w:lvlText w:val="-"/>
      <w:lvlJc w:val="left"/>
      <w:pPr>
        <w:tabs>
          <w:tab w:val="num" w:pos="360"/>
        </w:tabs>
        <w:ind w:left="360" w:hanging="360"/>
      </w:pPr>
      <w:rPr>
        <w:rFonts w:hint="default"/>
      </w:rPr>
    </w:lvl>
  </w:abstractNum>
  <w:abstractNum w:abstractNumId="12" w15:restartNumberingAfterBreak="0">
    <w:nsid w:val="5DA663B5"/>
    <w:multiLevelType w:val="singleLevel"/>
    <w:tmpl w:val="7860756A"/>
    <w:lvl w:ilvl="0">
      <w:start w:val="1"/>
      <w:numFmt w:val="lowerLetter"/>
      <w:lvlText w:val="%1)"/>
      <w:legacy w:legacy="1" w:legacySpace="0" w:legacyIndent="283"/>
      <w:lvlJc w:val="left"/>
      <w:pPr>
        <w:ind w:left="283" w:hanging="283"/>
      </w:pPr>
    </w:lvl>
  </w:abstractNum>
  <w:abstractNum w:abstractNumId="13" w15:restartNumberingAfterBreak="0">
    <w:nsid w:val="5F2960EE"/>
    <w:multiLevelType w:val="singleLevel"/>
    <w:tmpl w:val="CEE48FA2"/>
    <w:lvl w:ilvl="0">
      <w:start w:val="1"/>
      <w:numFmt w:val="lowerLetter"/>
      <w:lvlText w:val="%1)"/>
      <w:lvlJc w:val="left"/>
      <w:pPr>
        <w:tabs>
          <w:tab w:val="num" w:pos="1211"/>
        </w:tabs>
        <w:ind w:left="1211" w:hanging="360"/>
      </w:pPr>
      <w:rPr>
        <w:rFonts w:hint="default"/>
      </w:rPr>
    </w:lvl>
  </w:abstractNum>
  <w:abstractNum w:abstractNumId="14" w15:restartNumberingAfterBreak="0">
    <w:nsid w:val="66190E52"/>
    <w:multiLevelType w:val="singleLevel"/>
    <w:tmpl w:val="E07A220E"/>
    <w:lvl w:ilvl="0">
      <w:start w:val="5"/>
      <w:numFmt w:val="bullet"/>
      <w:lvlText w:val="-"/>
      <w:lvlJc w:val="left"/>
      <w:pPr>
        <w:tabs>
          <w:tab w:val="num" w:pos="360"/>
        </w:tabs>
        <w:ind w:left="360" w:hanging="360"/>
      </w:pPr>
      <w:rPr>
        <w:rFonts w:hint="default"/>
      </w:rPr>
    </w:lvl>
  </w:abstractNum>
  <w:abstractNum w:abstractNumId="15" w15:restartNumberingAfterBreak="0">
    <w:nsid w:val="6AAE52CE"/>
    <w:multiLevelType w:val="hybridMultilevel"/>
    <w:tmpl w:val="BE8EDC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D343C1C"/>
    <w:multiLevelType w:val="hybridMultilevel"/>
    <w:tmpl w:val="5FF4A1D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15:restartNumberingAfterBreak="0">
    <w:nsid w:val="7CAE6491"/>
    <w:multiLevelType w:val="hybridMultilevel"/>
    <w:tmpl w:val="A13CFA7E"/>
    <w:lvl w:ilvl="0" w:tplc="B40E1280">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5129584">
    <w:abstractNumId w:val="10"/>
  </w:num>
  <w:num w:numId="2" w16cid:durableId="2056734625">
    <w:abstractNumId w:val="1"/>
  </w:num>
  <w:num w:numId="3" w16cid:durableId="1662075537">
    <w:abstractNumId w:val="9"/>
  </w:num>
  <w:num w:numId="4" w16cid:durableId="1825664489">
    <w:abstractNumId w:val="13"/>
  </w:num>
  <w:num w:numId="5" w16cid:durableId="1817139368">
    <w:abstractNumId w:val="12"/>
  </w:num>
  <w:num w:numId="6" w16cid:durableId="1537085322">
    <w:abstractNumId w:val="7"/>
  </w:num>
  <w:num w:numId="7" w16cid:durableId="877282909">
    <w:abstractNumId w:val="14"/>
  </w:num>
  <w:num w:numId="8" w16cid:durableId="581063664">
    <w:abstractNumId w:val="0"/>
  </w:num>
  <w:num w:numId="9" w16cid:durableId="127549308">
    <w:abstractNumId w:val="3"/>
  </w:num>
  <w:num w:numId="10" w16cid:durableId="1432244703">
    <w:abstractNumId w:val="15"/>
  </w:num>
  <w:num w:numId="11" w16cid:durableId="802767983">
    <w:abstractNumId w:val="2"/>
  </w:num>
  <w:num w:numId="12" w16cid:durableId="876234927">
    <w:abstractNumId w:val="16"/>
  </w:num>
  <w:num w:numId="13" w16cid:durableId="338431917">
    <w:abstractNumId w:val="6"/>
  </w:num>
  <w:num w:numId="14" w16cid:durableId="905922280">
    <w:abstractNumId w:val="17"/>
  </w:num>
  <w:num w:numId="15" w16cid:durableId="2048068849">
    <w:abstractNumId w:val="4"/>
  </w:num>
  <w:num w:numId="16" w16cid:durableId="730735543">
    <w:abstractNumId w:val="11"/>
  </w:num>
  <w:num w:numId="17" w16cid:durableId="1343359743">
    <w:abstractNumId w:val="8"/>
  </w:num>
  <w:num w:numId="18" w16cid:durableId="61494938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ctiveWritingStyle w:appName="MSWord" w:lang="pl-PL" w:vendorID="12" w:dllVersion="512" w:checkStyle="1"/>
  <w:activeWritingStyle w:appName="MSWord" w:lang="de-DE"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0F0"/>
    <w:rsid w:val="0001039C"/>
    <w:rsid w:val="000113DB"/>
    <w:rsid w:val="000128E2"/>
    <w:rsid w:val="0001545B"/>
    <w:rsid w:val="00016678"/>
    <w:rsid w:val="000222F0"/>
    <w:rsid w:val="00024412"/>
    <w:rsid w:val="00027844"/>
    <w:rsid w:val="000310F0"/>
    <w:rsid w:val="0003237A"/>
    <w:rsid w:val="000369E3"/>
    <w:rsid w:val="0004143A"/>
    <w:rsid w:val="000420C2"/>
    <w:rsid w:val="00051C18"/>
    <w:rsid w:val="00052ACC"/>
    <w:rsid w:val="0005502C"/>
    <w:rsid w:val="00056112"/>
    <w:rsid w:val="0006182D"/>
    <w:rsid w:val="00064A79"/>
    <w:rsid w:val="00072AFF"/>
    <w:rsid w:val="00087EFB"/>
    <w:rsid w:val="00092F91"/>
    <w:rsid w:val="000954FA"/>
    <w:rsid w:val="00096215"/>
    <w:rsid w:val="000A20B4"/>
    <w:rsid w:val="000A4F6F"/>
    <w:rsid w:val="000C2C8D"/>
    <w:rsid w:val="000C70B5"/>
    <w:rsid w:val="000D2388"/>
    <w:rsid w:val="000E55D2"/>
    <w:rsid w:val="000F4024"/>
    <w:rsid w:val="000F4136"/>
    <w:rsid w:val="000F7A6D"/>
    <w:rsid w:val="00103206"/>
    <w:rsid w:val="001062C5"/>
    <w:rsid w:val="001149C6"/>
    <w:rsid w:val="0012092B"/>
    <w:rsid w:val="00122A5C"/>
    <w:rsid w:val="00125804"/>
    <w:rsid w:val="00126E6C"/>
    <w:rsid w:val="001331DD"/>
    <w:rsid w:val="00137C5C"/>
    <w:rsid w:val="00142F68"/>
    <w:rsid w:val="001469BE"/>
    <w:rsid w:val="00150A68"/>
    <w:rsid w:val="00155A76"/>
    <w:rsid w:val="001604EF"/>
    <w:rsid w:val="00161F00"/>
    <w:rsid w:val="001719A3"/>
    <w:rsid w:val="001824FB"/>
    <w:rsid w:val="00193B4C"/>
    <w:rsid w:val="001A5EDB"/>
    <w:rsid w:val="001B00FD"/>
    <w:rsid w:val="001B1762"/>
    <w:rsid w:val="001B1C19"/>
    <w:rsid w:val="001B209A"/>
    <w:rsid w:val="001B22C1"/>
    <w:rsid w:val="001C74F3"/>
    <w:rsid w:val="001D2A23"/>
    <w:rsid w:val="001D57C3"/>
    <w:rsid w:val="001E4FD3"/>
    <w:rsid w:val="001E6746"/>
    <w:rsid w:val="001F0980"/>
    <w:rsid w:val="001F5425"/>
    <w:rsid w:val="001F5834"/>
    <w:rsid w:val="00201E3D"/>
    <w:rsid w:val="00206064"/>
    <w:rsid w:val="002063F9"/>
    <w:rsid w:val="002126B9"/>
    <w:rsid w:val="00214DFE"/>
    <w:rsid w:val="00217334"/>
    <w:rsid w:val="00221C20"/>
    <w:rsid w:val="00224E68"/>
    <w:rsid w:val="0022764D"/>
    <w:rsid w:val="00227750"/>
    <w:rsid w:val="00240211"/>
    <w:rsid w:val="0024043B"/>
    <w:rsid w:val="0024330C"/>
    <w:rsid w:val="002452F1"/>
    <w:rsid w:val="0025266C"/>
    <w:rsid w:val="00255CF9"/>
    <w:rsid w:val="0026195F"/>
    <w:rsid w:val="00262707"/>
    <w:rsid w:val="00264B20"/>
    <w:rsid w:val="0027218F"/>
    <w:rsid w:val="0028068F"/>
    <w:rsid w:val="00282658"/>
    <w:rsid w:val="00287B9F"/>
    <w:rsid w:val="00290616"/>
    <w:rsid w:val="00290E9B"/>
    <w:rsid w:val="00292847"/>
    <w:rsid w:val="00294CBE"/>
    <w:rsid w:val="00295917"/>
    <w:rsid w:val="002B02D7"/>
    <w:rsid w:val="002B63BD"/>
    <w:rsid w:val="002B759B"/>
    <w:rsid w:val="002C376C"/>
    <w:rsid w:val="002D059C"/>
    <w:rsid w:val="002E08CE"/>
    <w:rsid w:val="002E2569"/>
    <w:rsid w:val="002E69FD"/>
    <w:rsid w:val="002F4449"/>
    <w:rsid w:val="00311125"/>
    <w:rsid w:val="00312927"/>
    <w:rsid w:val="00315386"/>
    <w:rsid w:val="0031721D"/>
    <w:rsid w:val="003204A9"/>
    <w:rsid w:val="00322711"/>
    <w:rsid w:val="00323775"/>
    <w:rsid w:val="00340458"/>
    <w:rsid w:val="003536D5"/>
    <w:rsid w:val="00361264"/>
    <w:rsid w:val="00364C9A"/>
    <w:rsid w:val="003702D0"/>
    <w:rsid w:val="00371359"/>
    <w:rsid w:val="0037231F"/>
    <w:rsid w:val="00373BAD"/>
    <w:rsid w:val="003856DB"/>
    <w:rsid w:val="0039607C"/>
    <w:rsid w:val="003971E3"/>
    <w:rsid w:val="003972ED"/>
    <w:rsid w:val="003A072F"/>
    <w:rsid w:val="003A1BC0"/>
    <w:rsid w:val="003B31ED"/>
    <w:rsid w:val="003B666D"/>
    <w:rsid w:val="003C344D"/>
    <w:rsid w:val="003C69B8"/>
    <w:rsid w:val="003D0A7F"/>
    <w:rsid w:val="003D2891"/>
    <w:rsid w:val="003D30EF"/>
    <w:rsid w:val="003F0429"/>
    <w:rsid w:val="003F0BCE"/>
    <w:rsid w:val="003F6116"/>
    <w:rsid w:val="00403E1B"/>
    <w:rsid w:val="00406057"/>
    <w:rsid w:val="00406EDD"/>
    <w:rsid w:val="00407628"/>
    <w:rsid w:val="00407931"/>
    <w:rsid w:val="00411539"/>
    <w:rsid w:val="004129B5"/>
    <w:rsid w:val="00414ED8"/>
    <w:rsid w:val="004178C5"/>
    <w:rsid w:val="00430B37"/>
    <w:rsid w:val="0043793E"/>
    <w:rsid w:val="004432EB"/>
    <w:rsid w:val="00445A82"/>
    <w:rsid w:val="00447131"/>
    <w:rsid w:val="00447BCB"/>
    <w:rsid w:val="00452232"/>
    <w:rsid w:val="00452A92"/>
    <w:rsid w:val="00452F19"/>
    <w:rsid w:val="00454063"/>
    <w:rsid w:val="00462190"/>
    <w:rsid w:val="004713AF"/>
    <w:rsid w:val="00473871"/>
    <w:rsid w:val="004761DC"/>
    <w:rsid w:val="00485EAD"/>
    <w:rsid w:val="004901B8"/>
    <w:rsid w:val="004935AE"/>
    <w:rsid w:val="004968DB"/>
    <w:rsid w:val="004A0F8F"/>
    <w:rsid w:val="004A3D53"/>
    <w:rsid w:val="004A4F9E"/>
    <w:rsid w:val="004C1973"/>
    <w:rsid w:val="004D0483"/>
    <w:rsid w:val="004D2C8A"/>
    <w:rsid w:val="004D43A8"/>
    <w:rsid w:val="004D605F"/>
    <w:rsid w:val="004E2E47"/>
    <w:rsid w:val="004F3445"/>
    <w:rsid w:val="00502DBB"/>
    <w:rsid w:val="005038AA"/>
    <w:rsid w:val="005063AF"/>
    <w:rsid w:val="005109E0"/>
    <w:rsid w:val="00510D66"/>
    <w:rsid w:val="0051692B"/>
    <w:rsid w:val="00517082"/>
    <w:rsid w:val="005177D0"/>
    <w:rsid w:val="00522CFD"/>
    <w:rsid w:val="00522D95"/>
    <w:rsid w:val="00533D9A"/>
    <w:rsid w:val="00535F96"/>
    <w:rsid w:val="00536663"/>
    <w:rsid w:val="0055656C"/>
    <w:rsid w:val="00563610"/>
    <w:rsid w:val="00565AEB"/>
    <w:rsid w:val="00565E59"/>
    <w:rsid w:val="00570F88"/>
    <w:rsid w:val="0057573D"/>
    <w:rsid w:val="005869B0"/>
    <w:rsid w:val="00591A00"/>
    <w:rsid w:val="005943D0"/>
    <w:rsid w:val="00594E94"/>
    <w:rsid w:val="005B6540"/>
    <w:rsid w:val="005D5ED3"/>
    <w:rsid w:val="005D6B6C"/>
    <w:rsid w:val="005E1F79"/>
    <w:rsid w:val="005F1521"/>
    <w:rsid w:val="005F28B6"/>
    <w:rsid w:val="005F63A6"/>
    <w:rsid w:val="006045B9"/>
    <w:rsid w:val="00635AA5"/>
    <w:rsid w:val="00635B66"/>
    <w:rsid w:val="00635DF2"/>
    <w:rsid w:val="00636B26"/>
    <w:rsid w:val="00637B9E"/>
    <w:rsid w:val="00637E35"/>
    <w:rsid w:val="00641661"/>
    <w:rsid w:val="0064212A"/>
    <w:rsid w:val="00643656"/>
    <w:rsid w:val="00652011"/>
    <w:rsid w:val="00655D02"/>
    <w:rsid w:val="0067279C"/>
    <w:rsid w:val="00673B39"/>
    <w:rsid w:val="00674591"/>
    <w:rsid w:val="00675CE0"/>
    <w:rsid w:val="0068060B"/>
    <w:rsid w:val="00686675"/>
    <w:rsid w:val="00692625"/>
    <w:rsid w:val="006A466D"/>
    <w:rsid w:val="006B5DCC"/>
    <w:rsid w:val="006C040F"/>
    <w:rsid w:val="006C6BF9"/>
    <w:rsid w:val="006C7491"/>
    <w:rsid w:val="006D5DFF"/>
    <w:rsid w:val="006D67B2"/>
    <w:rsid w:val="006D6BEF"/>
    <w:rsid w:val="006E1472"/>
    <w:rsid w:val="006E2661"/>
    <w:rsid w:val="006E3BB1"/>
    <w:rsid w:val="006E6263"/>
    <w:rsid w:val="006E7D06"/>
    <w:rsid w:val="00700361"/>
    <w:rsid w:val="007013BA"/>
    <w:rsid w:val="0070191D"/>
    <w:rsid w:val="00703053"/>
    <w:rsid w:val="00705BE6"/>
    <w:rsid w:val="007113DC"/>
    <w:rsid w:val="00712D25"/>
    <w:rsid w:val="007206E5"/>
    <w:rsid w:val="00737A62"/>
    <w:rsid w:val="00737F6C"/>
    <w:rsid w:val="007406A7"/>
    <w:rsid w:val="00744E74"/>
    <w:rsid w:val="007453B0"/>
    <w:rsid w:val="00746A3B"/>
    <w:rsid w:val="00750C66"/>
    <w:rsid w:val="00754EE8"/>
    <w:rsid w:val="007732C8"/>
    <w:rsid w:val="00781458"/>
    <w:rsid w:val="007815E0"/>
    <w:rsid w:val="007900D9"/>
    <w:rsid w:val="0079496A"/>
    <w:rsid w:val="00796401"/>
    <w:rsid w:val="00797F4F"/>
    <w:rsid w:val="007A1FB4"/>
    <w:rsid w:val="007A6327"/>
    <w:rsid w:val="007A722A"/>
    <w:rsid w:val="007B21C0"/>
    <w:rsid w:val="007B24FB"/>
    <w:rsid w:val="007B3208"/>
    <w:rsid w:val="007B51FA"/>
    <w:rsid w:val="007B6D3A"/>
    <w:rsid w:val="007C3D00"/>
    <w:rsid w:val="007D13B3"/>
    <w:rsid w:val="007D1763"/>
    <w:rsid w:val="007D5028"/>
    <w:rsid w:val="007D7C85"/>
    <w:rsid w:val="007E0BDF"/>
    <w:rsid w:val="007E6B9E"/>
    <w:rsid w:val="007F00B8"/>
    <w:rsid w:val="007F0120"/>
    <w:rsid w:val="007F4366"/>
    <w:rsid w:val="00816186"/>
    <w:rsid w:val="008179E6"/>
    <w:rsid w:val="008255E0"/>
    <w:rsid w:val="00833EAF"/>
    <w:rsid w:val="00835738"/>
    <w:rsid w:val="00840B01"/>
    <w:rsid w:val="00842238"/>
    <w:rsid w:val="00842CC9"/>
    <w:rsid w:val="00844017"/>
    <w:rsid w:val="008505E7"/>
    <w:rsid w:val="00850DB5"/>
    <w:rsid w:val="008526C5"/>
    <w:rsid w:val="00852DDB"/>
    <w:rsid w:val="00853F0D"/>
    <w:rsid w:val="00854DA5"/>
    <w:rsid w:val="00857E94"/>
    <w:rsid w:val="008656AC"/>
    <w:rsid w:val="00865C56"/>
    <w:rsid w:val="008705DC"/>
    <w:rsid w:val="008746F0"/>
    <w:rsid w:val="0088032A"/>
    <w:rsid w:val="0088166B"/>
    <w:rsid w:val="00882B20"/>
    <w:rsid w:val="0088445D"/>
    <w:rsid w:val="00884B86"/>
    <w:rsid w:val="00887188"/>
    <w:rsid w:val="0089424C"/>
    <w:rsid w:val="008954B0"/>
    <w:rsid w:val="008A1815"/>
    <w:rsid w:val="008A38B6"/>
    <w:rsid w:val="008A4929"/>
    <w:rsid w:val="008A4E5C"/>
    <w:rsid w:val="008B1DFC"/>
    <w:rsid w:val="008B5B0F"/>
    <w:rsid w:val="008C3EB7"/>
    <w:rsid w:val="008E05A1"/>
    <w:rsid w:val="008E0F41"/>
    <w:rsid w:val="008E6D07"/>
    <w:rsid w:val="008F7C76"/>
    <w:rsid w:val="00902BFF"/>
    <w:rsid w:val="009073D4"/>
    <w:rsid w:val="00913779"/>
    <w:rsid w:val="00917119"/>
    <w:rsid w:val="009174CC"/>
    <w:rsid w:val="00923404"/>
    <w:rsid w:val="0092656C"/>
    <w:rsid w:val="009301CA"/>
    <w:rsid w:val="00930712"/>
    <w:rsid w:val="00931E19"/>
    <w:rsid w:val="00932E02"/>
    <w:rsid w:val="009338D6"/>
    <w:rsid w:val="009507BC"/>
    <w:rsid w:val="00956EDF"/>
    <w:rsid w:val="0096660F"/>
    <w:rsid w:val="0097049F"/>
    <w:rsid w:val="00975081"/>
    <w:rsid w:val="00977F41"/>
    <w:rsid w:val="00983683"/>
    <w:rsid w:val="00983C87"/>
    <w:rsid w:val="00986BF0"/>
    <w:rsid w:val="00987F55"/>
    <w:rsid w:val="00995291"/>
    <w:rsid w:val="009A66F9"/>
    <w:rsid w:val="009B29AC"/>
    <w:rsid w:val="009E2A23"/>
    <w:rsid w:val="009E5407"/>
    <w:rsid w:val="009E7B8A"/>
    <w:rsid w:val="009F2323"/>
    <w:rsid w:val="009F4BBE"/>
    <w:rsid w:val="00A0266F"/>
    <w:rsid w:val="00A04858"/>
    <w:rsid w:val="00A064AB"/>
    <w:rsid w:val="00A20350"/>
    <w:rsid w:val="00A21B3B"/>
    <w:rsid w:val="00A26B7B"/>
    <w:rsid w:val="00A3031D"/>
    <w:rsid w:val="00A303A2"/>
    <w:rsid w:val="00A30A93"/>
    <w:rsid w:val="00A34B23"/>
    <w:rsid w:val="00A3725C"/>
    <w:rsid w:val="00A41010"/>
    <w:rsid w:val="00A474AB"/>
    <w:rsid w:val="00A62D0D"/>
    <w:rsid w:val="00A6528F"/>
    <w:rsid w:val="00A729A9"/>
    <w:rsid w:val="00A8188A"/>
    <w:rsid w:val="00A82662"/>
    <w:rsid w:val="00A84E0B"/>
    <w:rsid w:val="00A86E26"/>
    <w:rsid w:val="00A87B2A"/>
    <w:rsid w:val="00A91324"/>
    <w:rsid w:val="00A92140"/>
    <w:rsid w:val="00AA08BD"/>
    <w:rsid w:val="00AA27A0"/>
    <w:rsid w:val="00AA37EA"/>
    <w:rsid w:val="00AB54F8"/>
    <w:rsid w:val="00AB73BA"/>
    <w:rsid w:val="00AB75F6"/>
    <w:rsid w:val="00AC3CF7"/>
    <w:rsid w:val="00AD2578"/>
    <w:rsid w:val="00AD261B"/>
    <w:rsid w:val="00AD2971"/>
    <w:rsid w:val="00AD2D96"/>
    <w:rsid w:val="00AD5B5D"/>
    <w:rsid w:val="00AE4B43"/>
    <w:rsid w:val="00AF2110"/>
    <w:rsid w:val="00B0720B"/>
    <w:rsid w:val="00B20250"/>
    <w:rsid w:val="00B20E2F"/>
    <w:rsid w:val="00B25AC4"/>
    <w:rsid w:val="00B26D77"/>
    <w:rsid w:val="00B40168"/>
    <w:rsid w:val="00B40A0D"/>
    <w:rsid w:val="00B467D9"/>
    <w:rsid w:val="00B5119B"/>
    <w:rsid w:val="00B57BC4"/>
    <w:rsid w:val="00B62E65"/>
    <w:rsid w:val="00B646ED"/>
    <w:rsid w:val="00B649D5"/>
    <w:rsid w:val="00B76361"/>
    <w:rsid w:val="00B814F1"/>
    <w:rsid w:val="00B820D5"/>
    <w:rsid w:val="00B91527"/>
    <w:rsid w:val="00B92827"/>
    <w:rsid w:val="00B965B3"/>
    <w:rsid w:val="00B9683F"/>
    <w:rsid w:val="00BA009F"/>
    <w:rsid w:val="00BA1FB3"/>
    <w:rsid w:val="00BB5C75"/>
    <w:rsid w:val="00BC56E8"/>
    <w:rsid w:val="00BC5E49"/>
    <w:rsid w:val="00BD5C45"/>
    <w:rsid w:val="00BD77F0"/>
    <w:rsid w:val="00BE36C9"/>
    <w:rsid w:val="00BE77A7"/>
    <w:rsid w:val="00BF1DC1"/>
    <w:rsid w:val="00BF28BF"/>
    <w:rsid w:val="00C05287"/>
    <w:rsid w:val="00C109C6"/>
    <w:rsid w:val="00C11B56"/>
    <w:rsid w:val="00C11E93"/>
    <w:rsid w:val="00C201AF"/>
    <w:rsid w:val="00C224FC"/>
    <w:rsid w:val="00C23857"/>
    <w:rsid w:val="00C33CFA"/>
    <w:rsid w:val="00C3405D"/>
    <w:rsid w:val="00C348F3"/>
    <w:rsid w:val="00C3657D"/>
    <w:rsid w:val="00C37BB3"/>
    <w:rsid w:val="00C37DE5"/>
    <w:rsid w:val="00C409A2"/>
    <w:rsid w:val="00C4273E"/>
    <w:rsid w:val="00C430E9"/>
    <w:rsid w:val="00C45DDF"/>
    <w:rsid w:val="00C53E36"/>
    <w:rsid w:val="00C6043D"/>
    <w:rsid w:val="00C61392"/>
    <w:rsid w:val="00C63C1B"/>
    <w:rsid w:val="00C67E87"/>
    <w:rsid w:val="00C72A5E"/>
    <w:rsid w:val="00CA2927"/>
    <w:rsid w:val="00CA6EC3"/>
    <w:rsid w:val="00CB1500"/>
    <w:rsid w:val="00CB5374"/>
    <w:rsid w:val="00CB7D77"/>
    <w:rsid w:val="00CC56E7"/>
    <w:rsid w:val="00CC6006"/>
    <w:rsid w:val="00CD0B71"/>
    <w:rsid w:val="00CD0C41"/>
    <w:rsid w:val="00CD18AA"/>
    <w:rsid w:val="00CE0B9B"/>
    <w:rsid w:val="00CE271E"/>
    <w:rsid w:val="00CE334F"/>
    <w:rsid w:val="00CF7DE0"/>
    <w:rsid w:val="00D0205B"/>
    <w:rsid w:val="00D03363"/>
    <w:rsid w:val="00D065DF"/>
    <w:rsid w:val="00D16FDE"/>
    <w:rsid w:val="00D20312"/>
    <w:rsid w:val="00D219F4"/>
    <w:rsid w:val="00D22CF0"/>
    <w:rsid w:val="00D23163"/>
    <w:rsid w:val="00D30C11"/>
    <w:rsid w:val="00D4291D"/>
    <w:rsid w:val="00D444C6"/>
    <w:rsid w:val="00D5347F"/>
    <w:rsid w:val="00D558B9"/>
    <w:rsid w:val="00D62C8D"/>
    <w:rsid w:val="00D63436"/>
    <w:rsid w:val="00D865CF"/>
    <w:rsid w:val="00D94239"/>
    <w:rsid w:val="00D9640B"/>
    <w:rsid w:val="00DA0C5A"/>
    <w:rsid w:val="00DB1A24"/>
    <w:rsid w:val="00DC2FF7"/>
    <w:rsid w:val="00DC4173"/>
    <w:rsid w:val="00DF0B33"/>
    <w:rsid w:val="00DF6354"/>
    <w:rsid w:val="00E11B89"/>
    <w:rsid w:val="00E15E7F"/>
    <w:rsid w:val="00E206FC"/>
    <w:rsid w:val="00E34A35"/>
    <w:rsid w:val="00E43C69"/>
    <w:rsid w:val="00E50EB0"/>
    <w:rsid w:val="00E51335"/>
    <w:rsid w:val="00E55CBE"/>
    <w:rsid w:val="00E60CFF"/>
    <w:rsid w:val="00E67F28"/>
    <w:rsid w:val="00E75139"/>
    <w:rsid w:val="00E8751F"/>
    <w:rsid w:val="00E9504B"/>
    <w:rsid w:val="00E97644"/>
    <w:rsid w:val="00EA035D"/>
    <w:rsid w:val="00EA6DC5"/>
    <w:rsid w:val="00EA7B0B"/>
    <w:rsid w:val="00EB1952"/>
    <w:rsid w:val="00EC3445"/>
    <w:rsid w:val="00EC58D4"/>
    <w:rsid w:val="00EE7A91"/>
    <w:rsid w:val="00EF0880"/>
    <w:rsid w:val="00EF5DF7"/>
    <w:rsid w:val="00EF6F6D"/>
    <w:rsid w:val="00F06AED"/>
    <w:rsid w:val="00F11B5B"/>
    <w:rsid w:val="00F120CB"/>
    <w:rsid w:val="00F15011"/>
    <w:rsid w:val="00F15AC6"/>
    <w:rsid w:val="00F20E28"/>
    <w:rsid w:val="00F21429"/>
    <w:rsid w:val="00F31C14"/>
    <w:rsid w:val="00F50B19"/>
    <w:rsid w:val="00F5148B"/>
    <w:rsid w:val="00F56EAC"/>
    <w:rsid w:val="00F578F6"/>
    <w:rsid w:val="00F62A1C"/>
    <w:rsid w:val="00F76869"/>
    <w:rsid w:val="00F76BB6"/>
    <w:rsid w:val="00F80BF8"/>
    <w:rsid w:val="00F825CC"/>
    <w:rsid w:val="00F86DA0"/>
    <w:rsid w:val="00F9282B"/>
    <w:rsid w:val="00FA2399"/>
    <w:rsid w:val="00FA2742"/>
    <w:rsid w:val="00FB0DAC"/>
    <w:rsid w:val="00FB3BC8"/>
    <w:rsid w:val="00FC3F78"/>
    <w:rsid w:val="00FC7391"/>
    <w:rsid w:val="00FD043F"/>
    <w:rsid w:val="00FD1F7A"/>
    <w:rsid w:val="00FD2BBD"/>
    <w:rsid w:val="00FD73C9"/>
    <w:rsid w:val="00FE2F77"/>
    <w:rsid w:val="00FE5E2F"/>
    <w:rsid w:val="00FF15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5601"/>
    <o:shapelayout v:ext="edit">
      <o:idmap v:ext="edit" data="1"/>
    </o:shapelayout>
  </w:shapeDefaults>
  <w:decimalSymbol w:val=","/>
  <w:listSeparator w:val=";"/>
  <w15:chartTrackingRefBased/>
  <w15:docId w15:val="{02445D0C-156E-4C3D-9759-7CD82385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numPr>
        <w:ilvl w:val="12"/>
      </w:numPr>
      <w:overflowPunct w:val="0"/>
      <w:autoSpaceDE w:val="0"/>
      <w:autoSpaceDN w:val="0"/>
      <w:adjustRightInd w:val="0"/>
      <w:ind w:firstLine="284"/>
      <w:jc w:val="both"/>
      <w:textAlignment w:val="baseline"/>
    </w:pPr>
    <w:rPr>
      <w:kern w:val="20"/>
    </w:rPr>
  </w:style>
  <w:style w:type="paragraph" w:styleId="Nagwek1">
    <w:name w:val="heading 1"/>
    <w:next w:val="Normalny"/>
    <w:qFormat/>
    <w:rsid w:val="009507BC"/>
    <w:pPr>
      <w:keepNext/>
      <w:keepLines/>
      <w:suppressAutoHyphens/>
      <w:spacing w:before="240" w:after="120"/>
      <w:outlineLvl w:val="0"/>
    </w:pPr>
    <w:rPr>
      <w:b/>
      <w:caps/>
      <w:kern w:val="28"/>
      <w:sz w:val="24"/>
    </w:rPr>
  </w:style>
  <w:style w:type="paragraph" w:styleId="Nagwek2">
    <w:name w:val="heading 2"/>
    <w:next w:val="Normalny"/>
    <w:qFormat/>
    <w:rsid w:val="009507BC"/>
    <w:pPr>
      <w:keepNext/>
      <w:spacing w:before="120" w:after="120"/>
      <w:outlineLvl w:val="1"/>
    </w:pPr>
    <w:rPr>
      <w:b/>
      <w:sz w:val="24"/>
    </w:rPr>
  </w:style>
  <w:style w:type="paragraph" w:styleId="Nagwek3">
    <w:name w:val="heading 3"/>
    <w:next w:val="Normalny"/>
    <w:qFormat/>
    <w:pPr>
      <w:keepNext/>
      <w:spacing w:before="60" w:after="60"/>
      <w:outlineLvl w:val="2"/>
    </w:pPr>
    <w:rPr>
      <w:b/>
    </w:rPr>
  </w:style>
  <w:style w:type="paragraph" w:styleId="Nagwek4">
    <w:name w:val="heading 4"/>
    <w:basedOn w:val="Normalny"/>
    <w:next w:val="Normalny"/>
    <w:link w:val="Nagwek4Znak"/>
    <w:qFormat/>
    <w:pPr>
      <w:keepNext/>
      <w:jc w:val="center"/>
      <w:outlineLvl w:val="3"/>
    </w:pPr>
    <w:rPr>
      <w:b/>
      <w:sz w:val="32"/>
    </w:rPr>
  </w:style>
  <w:style w:type="paragraph" w:styleId="Nagwek5">
    <w:name w:val="heading 5"/>
    <w:basedOn w:val="Normalny"/>
    <w:next w:val="Normalny"/>
    <w:qFormat/>
    <w:pPr>
      <w:keepNext/>
      <w:spacing w:before="240"/>
      <w:outlineLvl w:val="4"/>
    </w:pPr>
    <w:rPr>
      <w:b/>
    </w:rPr>
  </w:style>
  <w:style w:type="paragraph" w:styleId="Nagwek6">
    <w:name w:val="heading 6"/>
    <w:basedOn w:val="Normalny"/>
    <w:next w:val="Normalny"/>
    <w:qFormat/>
    <w:pPr>
      <w:spacing w:before="240" w:after="60"/>
      <w:outlineLvl w:val="5"/>
    </w:pPr>
    <w:rPr>
      <w:b/>
      <w:bCs/>
      <w:sz w:val="22"/>
      <w:szCs w:val="22"/>
    </w:rPr>
  </w:style>
  <w:style w:type="paragraph" w:styleId="Nagwek7">
    <w:name w:val="heading 7"/>
    <w:basedOn w:val="Normalny"/>
    <w:next w:val="Normalny"/>
    <w:qFormat/>
    <w:pPr>
      <w:spacing w:before="240" w:after="60"/>
      <w:outlineLvl w:val="6"/>
    </w:pPr>
    <w:rPr>
      <w:sz w:val="24"/>
      <w:szCs w:val="24"/>
    </w:rPr>
  </w:style>
  <w:style w:type="paragraph" w:styleId="Nagwek8">
    <w:name w:val="heading 8"/>
    <w:basedOn w:val="Normalny"/>
    <w:next w:val="Normalny"/>
    <w:qFormat/>
    <w:pPr>
      <w:spacing w:before="240" w:after="60"/>
      <w:outlineLvl w:val="7"/>
    </w:pPr>
    <w:rPr>
      <w:i/>
      <w:iCs/>
      <w:sz w:val="24"/>
      <w:szCs w:val="24"/>
    </w:rPr>
  </w:style>
  <w:style w:type="paragraph" w:styleId="Nagwek9">
    <w:name w:val="heading 9"/>
    <w:basedOn w:val="Normalny"/>
    <w:next w:val="Normalny"/>
    <w:autoRedefine/>
    <w:qFormat/>
    <w:pPr>
      <w:keepNext/>
      <w:ind w:left="567" w:hanging="567"/>
      <w:outlineLvl w:val="8"/>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842238"/>
    <w:rPr>
      <w:b/>
      <w:kern w:val="20"/>
      <w:sz w:val="32"/>
      <w:lang w:val="pl-PL" w:eastAsia="pl-PL" w:bidi="ar-SA"/>
    </w:rPr>
  </w:style>
  <w:style w:type="paragraph" w:customStyle="1" w:styleId="abc">
    <w:name w:val="abc"/>
    <w:pPr>
      <w:numPr>
        <w:numId w:val="1"/>
      </w:numPr>
    </w:pPr>
  </w:style>
  <w:style w:type="paragraph" w:customStyle="1" w:styleId="Czerwony">
    <w:name w:val="Czerwony"/>
    <w:basedOn w:val="Normalny"/>
    <w:next w:val="Normalny"/>
    <w:pPr>
      <w:ind w:firstLine="567"/>
    </w:pPr>
    <w:rPr>
      <w:color w:val="FF0000"/>
    </w:rPr>
  </w:style>
  <w:style w:type="paragraph" w:customStyle="1" w:styleId="czesciprojektu">
    <w:name w:val="czesci projektu"/>
    <w:basedOn w:val="Nagwek1"/>
    <w:pPr>
      <w:keepLines w:val="0"/>
      <w:tabs>
        <w:tab w:val="left" w:pos="708"/>
        <w:tab w:val="left" w:pos="1416"/>
        <w:tab w:val="left" w:pos="2124"/>
        <w:tab w:val="left" w:pos="2832"/>
        <w:tab w:val="left" w:pos="3540"/>
        <w:tab w:val="left" w:pos="4248"/>
        <w:tab w:val="left" w:pos="4956"/>
        <w:tab w:val="left" w:pos="5664"/>
        <w:tab w:val="left" w:pos="6375"/>
      </w:tabs>
      <w:suppressAutoHyphens w:val="0"/>
      <w:spacing w:before="0" w:after="0"/>
      <w:ind w:left="709" w:hanging="709"/>
    </w:pPr>
    <w:rPr>
      <w:rFonts w:ascii="Courier New" w:hAnsi="Courier New" w:cs="Courier New"/>
      <w:caps w:val="0"/>
      <w:kern w:val="0"/>
    </w:rPr>
  </w:style>
  <w:style w:type="paragraph" w:customStyle="1" w:styleId="Definicje">
    <w:name w:val="Definicje"/>
    <w:rPr>
      <w:bCs/>
    </w:rPr>
  </w:style>
  <w:style w:type="character" w:styleId="Hipercze">
    <w:name w:val="Hyperlink"/>
    <w:uiPriority w:val="99"/>
    <w:rPr>
      <w:rFonts w:ascii="Times New Roman" w:hAnsi="Times New Roman"/>
      <w:b/>
      <w:dstrike w:val="0"/>
      <w:color w:val="auto"/>
      <w:sz w:val="24"/>
      <w:u w:val="none"/>
      <w:vertAlign w:val="baseline"/>
    </w:rPr>
  </w:style>
  <w:style w:type="paragraph" w:customStyle="1" w:styleId="tytulspecyfikacji">
    <w:name w:val="tytul specyfikacji"/>
    <w:pPr>
      <w:ind w:left="91"/>
      <w:jc w:val="center"/>
    </w:pPr>
    <w:rPr>
      <w:b/>
      <w:sz w:val="28"/>
      <w:szCs w:val="24"/>
      <w:lang w:val="en-US"/>
    </w:rPr>
  </w:style>
  <w:style w:type="paragraph" w:customStyle="1" w:styleId="kreska">
    <w:name w:val="kreska"/>
    <w:basedOn w:val="Normalny"/>
    <w:pPr>
      <w:pBdr>
        <w:bottom w:val="single" w:sz="4" w:space="1" w:color="auto"/>
      </w:pBdr>
      <w:overflowPunct/>
      <w:autoSpaceDE/>
      <w:autoSpaceDN/>
      <w:adjustRightInd/>
      <w:ind w:firstLine="0"/>
      <w:jc w:val="center"/>
      <w:textAlignment w:val="auto"/>
    </w:pPr>
    <w:rPr>
      <w:b/>
      <w:sz w:val="28"/>
      <w:szCs w:val="24"/>
      <w:lang w:val="en-US"/>
    </w:rPr>
  </w:style>
  <w:style w:type="paragraph" w:customStyle="1" w:styleId="myslnik">
    <w:name w:val="myslnik"/>
    <w:pPr>
      <w:numPr>
        <w:numId w:val="3"/>
      </w:numPr>
      <w:tabs>
        <w:tab w:val="left" w:pos="0"/>
      </w:tabs>
    </w:pPr>
  </w:style>
  <w:style w:type="paragraph" w:styleId="Nagwek">
    <w:name w:val="header"/>
    <w:link w:val="NagwekZnak"/>
    <w:autoRedefine/>
    <w:uiPriority w:val="99"/>
    <w:pPr>
      <w:pBdr>
        <w:bottom w:val="single" w:sz="4" w:space="1" w:color="auto"/>
      </w:pBdr>
      <w:tabs>
        <w:tab w:val="center" w:pos="4820"/>
        <w:tab w:val="right" w:pos="9638"/>
      </w:tabs>
    </w:pPr>
    <w:rPr>
      <w:i/>
      <w:iCs/>
      <w:sz w:val="16"/>
    </w:rPr>
  </w:style>
  <w:style w:type="character" w:styleId="Numerstrony">
    <w:name w:val="page number"/>
    <w:basedOn w:val="Domylnaczcionkaakapitu"/>
  </w:style>
  <w:style w:type="character" w:styleId="UyteHipercze">
    <w:name w:val="FollowedHyperlink"/>
    <w:rPr>
      <w:rFonts w:ascii="Arial" w:hAnsi="Arial"/>
      <w:color w:val="800080"/>
      <w:sz w:val="24"/>
      <w:u w:val="none"/>
    </w:rPr>
  </w:style>
  <w:style w:type="character" w:styleId="Odwoanieprzypisudolnego">
    <w:name w:val="footnote reference"/>
    <w:semiHidden/>
    <w:rPr>
      <w:vertAlign w:val="superscript"/>
    </w:rPr>
  </w:style>
  <w:style w:type="paragraph" w:styleId="Spistreci1">
    <w:name w:val="toc 1"/>
    <w:uiPriority w:val="39"/>
    <w:pPr>
      <w:tabs>
        <w:tab w:val="right" w:leader="dot" w:pos="9356"/>
      </w:tabs>
      <w:spacing w:before="120" w:after="120"/>
    </w:pPr>
    <w:rPr>
      <w:b/>
      <w:caps/>
    </w:rPr>
  </w:style>
  <w:style w:type="paragraph" w:styleId="Spistreci2">
    <w:name w:val="toc 2"/>
    <w:basedOn w:val="Normalny"/>
    <w:next w:val="Normalny"/>
    <w:semiHidden/>
    <w:pPr>
      <w:tabs>
        <w:tab w:val="right" w:leader="dot" w:pos="7371"/>
      </w:tabs>
      <w:ind w:left="200"/>
      <w:jc w:val="left"/>
    </w:pPr>
  </w:style>
  <w:style w:type="paragraph" w:styleId="Spistreci3">
    <w:name w:val="toc 3"/>
    <w:basedOn w:val="Normalny"/>
    <w:next w:val="Normalny"/>
    <w:semiHidden/>
    <w:pPr>
      <w:tabs>
        <w:tab w:val="right" w:leader="dot" w:pos="7371"/>
      </w:tabs>
      <w:ind w:left="400"/>
      <w:jc w:val="left"/>
    </w:pPr>
  </w:style>
  <w:style w:type="paragraph" w:styleId="Spistreci4">
    <w:name w:val="toc 4"/>
    <w:basedOn w:val="Normalny"/>
    <w:next w:val="Normalny"/>
    <w:semiHidden/>
    <w:pPr>
      <w:tabs>
        <w:tab w:val="right" w:leader="dot" w:pos="7371"/>
      </w:tabs>
      <w:ind w:left="600"/>
      <w:jc w:val="left"/>
    </w:pPr>
    <w:rPr>
      <w:sz w:val="18"/>
    </w:rPr>
  </w:style>
  <w:style w:type="paragraph" w:styleId="Spistreci5">
    <w:name w:val="toc 5"/>
    <w:basedOn w:val="Normalny"/>
    <w:next w:val="Normalny"/>
    <w:semiHidden/>
    <w:pPr>
      <w:tabs>
        <w:tab w:val="right" w:leader="dot" w:pos="7371"/>
      </w:tabs>
      <w:ind w:left="800"/>
      <w:jc w:val="left"/>
    </w:pPr>
    <w:rPr>
      <w:sz w:val="18"/>
    </w:rPr>
  </w:style>
  <w:style w:type="paragraph" w:styleId="Spistreci6">
    <w:name w:val="toc 6"/>
    <w:basedOn w:val="Normalny"/>
    <w:next w:val="Normalny"/>
    <w:semiHidden/>
    <w:pPr>
      <w:tabs>
        <w:tab w:val="right" w:leader="dot" w:pos="7371"/>
      </w:tabs>
      <w:ind w:left="1000"/>
      <w:jc w:val="left"/>
    </w:pPr>
    <w:rPr>
      <w:sz w:val="18"/>
    </w:rPr>
  </w:style>
  <w:style w:type="paragraph" w:styleId="Spistreci7">
    <w:name w:val="toc 7"/>
    <w:basedOn w:val="Normalny"/>
    <w:next w:val="Normalny"/>
    <w:semiHidden/>
    <w:pPr>
      <w:tabs>
        <w:tab w:val="right" w:leader="dot" w:pos="7371"/>
      </w:tabs>
      <w:ind w:left="1200"/>
      <w:jc w:val="left"/>
    </w:pPr>
    <w:rPr>
      <w:sz w:val="18"/>
    </w:rPr>
  </w:style>
  <w:style w:type="paragraph" w:styleId="Spistreci8">
    <w:name w:val="toc 8"/>
    <w:basedOn w:val="Normalny"/>
    <w:next w:val="Normalny"/>
    <w:semiHidden/>
    <w:pPr>
      <w:tabs>
        <w:tab w:val="right" w:leader="dot" w:pos="7371"/>
      </w:tabs>
      <w:ind w:left="1400"/>
      <w:jc w:val="left"/>
    </w:pPr>
    <w:rPr>
      <w:sz w:val="18"/>
    </w:rPr>
  </w:style>
  <w:style w:type="paragraph" w:styleId="Spistreci9">
    <w:name w:val="toc 9"/>
    <w:basedOn w:val="Normalny"/>
    <w:next w:val="Normalny"/>
    <w:semiHidden/>
    <w:pPr>
      <w:tabs>
        <w:tab w:val="right" w:leader="dot" w:pos="7371"/>
      </w:tabs>
      <w:ind w:left="1600"/>
      <w:jc w:val="left"/>
    </w:pPr>
    <w:rPr>
      <w:sz w:val="18"/>
    </w:rPr>
  </w:style>
  <w:style w:type="paragraph" w:styleId="Stopka">
    <w:name w:val="footer"/>
    <w:link w:val="StopkaZnak"/>
    <w:pPr>
      <w:pBdr>
        <w:top w:val="single" w:sz="4" w:space="1" w:color="auto"/>
      </w:pBdr>
      <w:tabs>
        <w:tab w:val="right" w:pos="9639"/>
      </w:tabs>
    </w:pPr>
    <w:rPr>
      <w:i/>
      <w:sz w:val="16"/>
    </w:rPr>
  </w:style>
  <w:style w:type="character" w:customStyle="1" w:styleId="StopkaZnak">
    <w:name w:val="Stopka Znak"/>
    <w:link w:val="Stopka"/>
    <w:rsid w:val="00842238"/>
    <w:rPr>
      <w:i/>
      <w:sz w:val="16"/>
      <w:lang w:val="pl-PL" w:eastAsia="pl-PL" w:bidi="ar-SA"/>
    </w:rPr>
  </w:style>
  <w:style w:type="paragraph" w:customStyle="1" w:styleId="stronatytul">
    <w:name w:val="strona tytul"/>
    <w:basedOn w:val="Normalny"/>
    <w:pPr>
      <w:overflowPunct/>
      <w:autoSpaceDE/>
      <w:autoSpaceDN/>
      <w:adjustRightInd/>
      <w:spacing w:line="360" w:lineRule="auto"/>
      <w:jc w:val="center"/>
      <w:textAlignment w:val="auto"/>
    </w:pPr>
    <w:rPr>
      <w:rFonts w:ascii="Courier New" w:hAnsi="Courier New" w:cs="Courier New"/>
      <w:b/>
      <w:sz w:val="40"/>
      <w:szCs w:val="24"/>
      <w:lang w:val="en-US"/>
    </w:rPr>
  </w:style>
  <w:style w:type="paragraph" w:customStyle="1" w:styleId="Tabela">
    <w:name w:val="Tabela"/>
    <w:autoRedefine/>
    <w:rsid w:val="009E7B8A"/>
    <w:pPr>
      <w:keepNext/>
      <w:keepLines/>
      <w:ind w:left="993" w:hanging="993"/>
    </w:pPr>
    <w:rPr>
      <w:rFonts w:eastAsia="CenturyGothic"/>
      <w:color w:val="000000"/>
    </w:rPr>
  </w:style>
  <w:style w:type="paragraph" w:customStyle="1" w:styleId="tytulprojektu">
    <w:name w:val="tytul projektu"/>
    <w:next w:val="Normalny"/>
    <w:pPr>
      <w:jc w:val="right"/>
    </w:pPr>
    <w:rPr>
      <w:rFonts w:ascii="Courier New" w:hAnsi="Courier New"/>
      <w:smallCaps/>
      <w:sz w:val="28"/>
      <w14:shadow w14:blurRad="50800" w14:dist="38100" w14:dir="2700000" w14:sx="100000" w14:sy="100000" w14:kx="0" w14:ky="0" w14:algn="tl">
        <w14:srgbClr w14:val="000000">
          <w14:alpha w14:val="60000"/>
        </w14:srgbClr>
      </w14:shadow>
    </w:rPr>
  </w:style>
  <w:style w:type="paragraph" w:customStyle="1" w:styleId="wisk">
    <w:name w:val="wisk"/>
    <w:pPr>
      <w:spacing w:before="120"/>
      <w:ind w:firstLine="284"/>
    </w:pPr>
    <w:rPr>
      <w:color w:val="0000FF"/>
    </w:rPr>
  </w:style>
  <w:style w:type="paragraph" w:customStyle="1" w:styleId="tytul">
    <w:name w:val="tytul"/>
    <w:basedOn w:val="tytulspecyfikacji"/>
    <w:rPr>
      <w:lang w:val="pl-PL"/>
    </w:rPr>
  </w:style>
  <w:style w:type="paragraph" w:customStyle="1" w:styleId="tekstost">
    <w:name w:val="tekst ost"/>
    <w:basedOn w:val="Normalny"/>
    <w:pPr>
      <w:numPr>
        <w:ilvl w:val="0"/>
      </w:numPr>
      <w:ind w:firstLine="284"/>
    </w:pPr>
    <w:rPr>
      <w:kern w:val="0"/>
    </w:rPr>
  </w:style>
  <w:style w:type="paragraph" w:customStyle="1" w:styleId="Tekstpodstawowy21">
    <w:name w:val="Tekst podstawowy 21"/>
    <w:basedOn w:val="Normalny"/>
    <w:pPr>
      <w:numPr>
        <w:ilvl w:val="0"/>
      </w:numPr>
      <w:ind w:firstLine="709"/>
    </w:pPr>
    <w:rPr>
      <w:color w:val="FF0000"/>
      <w:kern w:val="0"/>
    </w:rPr>
  </w:style>
  <w:style w:type="paragraph" w:customStyle="1" w:styleId="a">
    <w:name w:val="a)"/>
    <w:basedOn w:val="Normalny"/>
    <w:autoRedefine/>
    <w:pPr>
      <w:ind w:left="360" w:hanging="360"/>
    </w:pPr>
  </w:style>
  <w:style w:type="paragraph" w:customStyle="1" w:styleId="Kopia-wisk">
    <w:name w:val="Kopia-wisk"/>
    <w:autoRedefine/>
    <w:pPr>
      <w:spacing w:before="120"/>
      <w:ind w:left="284" w:hanging="284"/>
    </w:pPr>
    <w:rPr>
      <w:color w:val="0000FF"/>
    </w:rPr>
  </w:style>
  <w:style w:type="character" w:styleId="Odwoaniedokomentarza">
    <w:name w:val="annotation reference"/>
    <w:semiHidden/>
    <w:rPr>
      <w:sz w:val="16"/>
      <w:szCs w:val="16"/>
    </w:rPr>
  </w:style>
  <w:style w:type="paragraph" w:customStyle="1" w:styleId="punkty">
    <w:name w:val="punkty"/>
    <w:autoRedefine/>
    <w:pPr>
      <w:numPr>
        <w:numId w:val="2"/>
      </w:numPr>
    </w:pPr>
  </w:style>
  <w:style w:type="paragraph" w:styleId="Wcicienormalne">
    <w:name w:val="Normal Indent"/>
    <w:basedOn w:val="Normalny"/>
    <w:pPr>
      <w:ind w:left="708"/>
    </w:pPr>
  </w:style>
  <w:style w:type="paragraph" w:customStyle="1" w:styleId="str-tyt-duze">
    <w:name w:val="str-tyt-duze"/>
    <w:autoRedefine/>
    <w:rPr>
      <w:sz w:val="48"/>
    </w:rPr>
  </w:style>
  <w:style w:type="paragraph" w:customStyle="1" w:styleId="tabela-ang">
    <w:name w:val="tabela-ang"/>
    <w:autoRedefine/>
    <w:pPr>
      <w:spacing w:before="120" w:after="120"/>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style>
  <w:style w:type="paragraph" w:styleId="Tekstpodstawowy">
    <w:name w:val="Body Text"/>
    <w:basedOn w:val="Normalny"/>
    <w:link w:val="TekstpodstawowyZnak"/>
    <w:pPr>
      <w:tabs>
        <w:tab w:val="left" w:pos="0"/>
      </w:tabs>
      <w:spacing w:before="120"/>
    </w:pPr>
    <w:rPr>
      <w:color w:val="FF0000"/>
    </w:rPr>
  </w:style>
  <w:style w:type="character" w:customStyle="1" w:styleId="TekstpodstawowyZnak">
    <w:name w:val="Tekst podstawowy Znak"/>
    <w:link w:val="Tekstpodstawowy"/>
    <w:rsid w:val="00842238"/>
    <w:rPr>
      <w:color w:val="FF0000"/>
      <w:kern w:val="20"/>
      <w:lang w:val="pl-PL" w:eastAsia="pl-PL" w:bidi="ar-SA"/>
    </w:rPr>
  </w:style>
  <w:style w:type="paragraph" w:styleId="Tekstpodstawowywcity">
    <w:name w:val="Body Text Indent"/>
    <w:basedOn w:val="Normalny"/>
    <w:pPr>
      <w:numPr>
        <w:ilvl w:val="0"/>
      </w:numPr>
      <w:ind w:left="426" w:hanging="426"/>
    </w:pPr>
    <w:rPr>
      <w:kern w:val="0"/>
    </w:rPr>
  </w:style>
  <w:style w:type="paragraph" w:styleId="Tekstprzypisudolnego">
    <w:name w:val="footnote text"/>
    <w:basedOn w:val="Normalny"/>
    <w:semiHidden/>
  </w:style>
  <w:style w:type="paragraph" w:styleId="Listapunktowana">
    <w:name w:val="List Bullet"/>
    <w:basedOn w:val="Normalny"/>
    <w:rsid w:val="00FD73C9"/>
    <w:pPr>
      <w:overflowPunct/>
      <w:autoSpaceDE/>
      <w:autoSpaceDN/>
      <w:adjustRightInd/>
      <w:spacing w:line="300" w:lineRule="atLeast"/>
      <w:ind w:left="397" w:hanging="397"/>
      <w:jc w:val="left"/>
      <w:textAlignment w:val="auto"/>
    </w:pPr>
    <w:rPr>
      <w:kern w:val="0"/>
      <w:sz w:val="24"/>
    </w:rPr>
  </w:style>
  <w:style w:type="paragraph" w:customStyle="1" w:styleId="tekst">
    <w:name w:val="tekst"/>
    <w:basedOn w:val="Normalny"/>
    <w:rsid w:val="00FD73C9"/>
    <w:pPr>
      <w:numPr>
        <w:ilvl w:val="0"/>
      </w:numPr>
      <w:overflowPunct/>
      <w:autoSpaceDE/>
      <w:autoSpaceDN/>
      <w:adjustRightInd/>
      <w:spacing w:line="300" w:lineRule="atLeast"/>
      <w:ind w:firstLine="284"/>
      <w:textAlignment w:val="auto"/>
    </w:pPr>
    <w:rPr>
      <w:kern w:val="0"/>
      <w:sz w:val="24"/>
    </w:rPr>
  </w:style>
  <w:style w:type="paragraph" w:styleId="Tekstpodstawowy3">
    <w:name w:val="Body Text 3"/>
    <w:basedOn w:val="Normalny"/>
    <w:rsid w:val="00FD73C9"/>
    <w:pPr>
      <w:numPr>
        <w:ilvl w:val="0"/>
      </w:numPr>
      <w:overflowPunct/>
      <w:autoSpaceDE/>
      <w:autoSpaceDN/>
      <w:adjustRightInd/>
      <w:ind w:right="135" w:firstLine="284"/>
      <w:textAlignment w:val="auto"/>
    </w:pPr>
    <w:rPr>
      <w:kern w:val="0"/>
      <w:sz w:val="24"/>
    </w:rPr>
  </w:style>
  <w:style w:type="paragraph" w:styleId="Tekstpodstawowywcity3">
    <w:name w:val="Body Text Indent 3"/>
    <w:basedOn w:val="Normalny"/>
    <w:rsid w:val="00FD73C9"/>
    <w:pPr>
      <w:numPr>
        <w:ilvl w:val="0"/>
      </w:numPr>
      <w:overflowPunct/>
      <w:autoSpaceDE/>
      <w:autoSpaceDN/>
      <w:adjustRightInd/>
      <w:ind w:left="567" w:firstLine="284"/>
      <w:textAlignment w:val="auto"/>
    </w:pPr>
    <w:rPr>
      <w:color w:val="000000"/>
      <w:kern w:val="0"/>
      <w:sz w:val="24"/>
    </w:rPr>
  </w:style>
  <w:style w:type="paragraph" w:styleId="Zwykytekst">
    <w:name w:val="Plain Text"/>
    <w:basedOn w:val="Normalny"/>
    <w:link w:val="ZwykytekstZnak"/>
    <w:rsid w:val="00FD73C9"/>
    <w:pPr>
      <w:numPr>
        <w:ilvl w:val="0"/>
      </w:numPr>
      <w:overflowPunct/>
      <w:autoSpaceDE/>
      <w:autoSpaceDN/>
      <w:adjustRightInd/>
      <w:ind w:firstLine="284"/>
      <w:jc w:val="left"/>
      <w:textAlignment w:val="auto"/>
    </w:pPr>
    <w:rPr>
      <w:rFonts w:ascii="Courier New" w:hAnsi="Courier New"/>
      <w:kern w:val="0"/>
    </w:rPr>
  </w:style>
  <w:style w:type="character" w:customStyle="1" w:styleId="ZwykytekstZnak">
    <w:name w:val="Zwykły tekst Znak"/>
    <w:link w:val="Zwykytekst"/>
    <w:rsid w:val="00842238"/>
    <w:rPr>
      <w:rFonts w:ascii="Courier New" w:hAnsi="Courier New"/>
      <w:lang w:val="pl-PL" w:eastAsia="pl-PL" w:bidi="ar-SA"/>
    </w:rPr>
  </w:style>
  <w:style w:type="paragraph" w:styleId="Tekstprzypisukocowego">
    <w:name w:val="endnote text"/>
    <w:basedOn w:val="Normalny"/>
    <w:semiHidden/>
    <w:rsid w:val="00FD73C9"/>
    <w:pPr>
      <w:numPr>
        <w:ilvl w:val="0"/>
      </w:numPr>
      <w:overflowPunct/>
      <w:autoSpaceDE/>
      <w:autoSpaceDN/>
      <w:adjustRightInd/>
      <w:spacing w:before="120"/>
      <w:ind w:firstLine="284"/>
      <w:textAlignment w:val="auto"/>
    </w:pPr>
    <w:rPr>
      <w:rFonts w:ascii="PL Times New Roman" w:hAnsi="PL Times New Roman"/>
      <w:kern w:val="0"/>
    </w:rPr>
  </w:style>
  <w:style w:type="paragraph" w:styleId="Tekstpodstawowy2">
    <w:name w:val="Body Text 2"/>
    <w:basedOn w:val="Normalny"/>
    <w:rsid w:val="007E6B9E"/>
    <w:pPr>
      <w:keepNext/>
      <w:numPr>
        <w:ilvl w:val="0"/>
      </w:numPr>
      <w:overflowPunct/>
      <w:autoSpaceDE/>
      <w:autoSpaceDN/>
      <w:adjustRightInd/>
      <w:ind w:right="136" w:firstLine="284"/>
      <w:textAlignment w:val="auto"/>
    </w:pPr>
    <w:rPr>
      <w:kern w:val="0"/>
      <w:sz w:val="24"/>
    </w:rPr>
  </w:style>
  <w:style w:type="paragraph" w:styleId="Tekstpodstawowywcity2">
    <w:name w:val="Body Text Indent 2"/>
    <w:basedOn w:val="Normalny"/>
    <w:rsid w:val="00995291"/>
    <w:pPr>
      <w:numPr>
        <w:ilvl w:val="0"/>
      </w:numPr>
      <w:overflowPunct/>
      <w:autoSpaceDE/>
      <w:autoSpaceDN/>
      <w:adjustRightInd/>
      <w:spacing w:after="120" w:line="480" w:lineRule="auto"/>
      <w:ind w:left="283" w:firstLine="284"/>
      <w:jc w:val="left"/>
      <w:textAlignment w:val="auto"/>
    </w:pPr>
    <w:rPr>
      <w:kern w:val="0"/>
      <w:sz w:val="24"/>
    </w:rPr>
  </w:style>
  <w:style w:type="paragraph" w:customStyle="1" w:styleId="Tekstprzypisukocowego1">
    <w:name w:val="Tekst przypisu końcowego1"/>
    <w:basedOn w:val="Normalny"/>
    <w:rsid w:val="00842238"/>
    <w:pPr>
      <w:numPr>
        <w:ilvl w:val="0"/>
      </w:numPr>
      <w:overflowPunct/>
      <w:autoSpaceDE/>
      <w:autoSpaceDN/>
      <w:adjustRightInd/>
      <w:spacing w:before="120"/>
      <w:ind w:firstLine="284"/>
      <w:textAlignment w:val="auto"/>
    </w:pPr>
    <w:rPr>
      <w:kern w:val="0"/>
    </w:rPr>
  </w:style>
  <w:style w:type="paragraph" w:customStyle="1" w:styleId="Zwykytekst1">
    <w:name w:val="Zwykły tekst1"/>
    <w:basedOn w:val="Normalny"/>
    <w:rsid w:val="00842238"/>
    <w:pPr>
      <w:numPr>
        <w:ilvl w:val="0"/>
      </w:numPr>
      <w:overflowPunct/>
      <w:autoSpaceDE/>
      <w:autoSpaceDN/>
      <w:adjustRightInd/>
      <w:ind w:firstLine="284"/>
      <w:jc w:val="left"/>
      <w:textAlignment w:val="auto"/>
    </w:pPr>
    <w:rPr>
      <w:rFonts w:ascii="Courier New" w:hAnsi="Courier New"/>
      <w:kern w:val="0"/>
    </w:rPr>
  </w:style>
  <w:style w:type="paragraph" w:styleId="Lista">
    <w:name w:val="List"/>
    <w:basedOn w:val="Normalny"/>
    <w:rsid w:val="00842238"/>
    <w:pPr>
      <w:numPr>
        <w:ilvl w:val="0"/>
      </w:numPr>
      <w:overflowPunct/>
      <w:autoSpaceDE/>
      <w:autoSpaceDN/>
      <w:adjustRightInd/>
      <w:spacing w:before="120"/>
      <w:ind w:left="283" w:hanging="283"/>
      <w:textAlignment w:val="auto"/>
    </w:pPr>
    <w:rPr>
      <w:kern w:val="0"/>
    </w:rPr>
  </w:style>
  <w:style w:type="paragraph" w:styleId="Lista-kontynuacja2">
    <w:name w:val="List Continue 2"/>
    <w:basedOn w:val="Normalny"/>
    <w:rsid w:val="00842238"/>
    <w:pPr>
      <w:numPr>
        <w:ilvl w:val="0"/>
      </w:numPr>
      <w:overflowPunct/>
      <w:autoSpaceDE/>
      <w:autoSpaceDN/>
      <w:adjustRightInd/>
      <w:spacing w:before="120" w:after="120"/>
      <w:ind w:left="566" w:firstLine="284"/>
      <w:textAlignment w:val="auto"/>
    </w:pPr>
    <w:rPr>
      <w:kern w:val="0"/>
    </w:rPr>
  </w:style>
  <w:style w:type="paragraph" w:styleId="Legenda">
    <w:name w:val="caption"/>
    <w:basedOn w:val="Normalny"/>
    <w:next w:val="Normalny"/>
    <w:qFormat/>
    <w:rsid w:val="00842238"/>
    <w:pPr>
      <w:numPr>
        <w:ilvl w:val="0"/>
      </w:numPr>
      <w:overflowPunct/>
      <w:autoSpaceDE/>
      <w:autoSpaceDN/>
      <w:adjustRightInd/>
      <w:spacing w:before="120" w:after="120"/>
      <w:ind w:firstLine="284"/>
      <w:textAlignment w:val="auto"/>
    </w:pPr>
    <w:rPr>
      <w:b/>
      <w:kern w:val="0"/>
    </w:rPr>
  </w:style>
  <w:style w:type="paragraph" w:customStyle="1" w:styleId="Standardowytekst">
    <w:name w:val="Standardowy.tekst"/>
    <w:rsid w:val="00842238"/>
    <w:pPr>
      <w:jc w:val="both"/>
    </w:pPr>
  </w:style>
  <w:style w:type="paragraph" w:customStyle="1" w:styleId="StylIwony">
    <w:name w:val="Styl Iwony"/>
    <w:basedOn w:val="Normalny"/>
    <w:rsid w:val="00842238"/>
    <w:pPr>
      <w:numPr>
        <w:ilvl w:val="0"/>
      </w:numPr>
      <w:overflowPunct/>
      <w:autoSpaceDE/>
      <w:autoSpaceDN/>
      <w:adjustRightInd/>
      <w:spacing w:before="120" w:after="120"/>
      <w:ind w:firstLine="284"/>
      <w:textAlignment w:val="auto"/>
    </w:pPr>
    <w:rPr>
      <w:rFonts w:ascii="Bookman Old Style" w:hAnsi="Bookman Old Style"/>
      <w:kern w:val="0"/>
      <w:sz w:val="24"/>
    </w:rPr>
  </w:style>
  <w:style w:type="paragraph" w:customStyle="1" w:styleId="wyliczenie1">
    <w:name w:val="wyliczenie 1"/>
    <w:basedOn w:val="Normalny"/>
    <w:rsid w:val="00842238"/>
    <w:pPr>
      <w:numPr>
        <w:ilvl w:val="0"/>
        <w:numId w:val="6"/>
      </w:numPr>
      <w:overflowPunct/>
      <w:autoSpaceDE/>
      <w:autoSpaceDN/>
      <w:adjustRightInd/>
      <w:jc w:val="left"/>
      <w:textAlignment w:val="auto"/>
    </w:pPr>
    <w:rPr>
      <w:kern w:val="0"/>
      <w:sz w:val="24"/>
    </w:rPr>
  </w:style>
  <w:style w:type="paragraph" w:customStyle="1" w:styleId="Standardowytekst1">
    <w:name w:val="Standardowy.tekst1"/>
    <w:rsid w:val="00842238"/>
    <w:pPr>
      <w:jc w:val="both"/>
    </w:pPr>
  </w:style>
  <w:style w:type="paragraph" w:styleId="Lista4">
    <w:name w:val="List 4"/>
    <w:basedOn w:val="Normalny"/>
    <w:rsid w:val="00842238"/>
    <w:pPr>
      <w:widowControl w:val="0"/>
      <w:numPr>
        <w:ilvl w:val="0"/>
      </w:numPr>
      <w:overflowPunct/>
      <w:autoSpaceDE/>
      <w:autoSpaceDN/>
      <w:adjustRightInd/>
      <w:ind w:left="1132" w:hanging="283"/>
      <w:jc w:val="left"/>
      <w:textAlignment w:val="auto"/>
    </w:pPr>
    <w:rPr>
      <w:kern w:val="0"/>
    </w:rPr>
  </w:style>
  <w:style w:type="paragraph" w:styleId="Akapitzlist">
    <w:name w:val="List Paragraph"/>
    <w:basedOn w:val="Normalny"/>
    <w:qFormat/>
    <w:rsid w:val="00842238"/>
    <w:pPr>
      <w:numPr>
        <w:ilvl w:val="0"/>
      </w:numPr>
      <w:overflowPunct/>
      <w:autoSpaceDE/>
      <w:autoSpaceDN/>
      <w:adjustRightInd/>
      <w:spacing w:before="120"/>
      <w:ind w:left="720" w:firstLine="284"/>
      <w:contextualSpacing/>
      <w:textAlignment w:val="auto"/>
    </w:pPr>
    <w:rPr>
      <w:kern w:val="0"/>
    </w:rPr>
  </w:style>
  <w:style w:type="paragraph" w:customStyle="1" w:styleId="Style14">
    <w:name w:val="Style14"/>
    <w:basedOn w:val="Normalny"/>
    <w:uiPriority w:val="99"/>
    <w:rsid w:val="00635B66"/>
    <w:pPr>
      <w:widowControl w:val="0"/>
      <w:numPr>
        <w:ilvl w:val="0"/>
      </w:numPr>
      <w:overflowPunct/>
      <w:spacing w:line="245" w:lineRule="exact"/>
      <w:ind w:firstLine="284"/>
      <w:textAlignment w:val="auto"/>
    </w:pPr>
    <w:rPr>
      <w:kern w:val="0"/>
      <w:sz w:val="24"/>
      <w:szCs w:val="24"/>
    </w:rPr>
  </w:style>
  <w:style w:type="paragraph" w:customStyle="1" w:styleId="Style17">
    <w:name w:val="Style17"/>
    <w:basedOn w:val="Normalny"/>
    <w:uiPriority w:val="99"/>
    <w:rsid w:val="00635B66"/>
    <w:pPr>
      <w:widowControl w:val="0"/>
      <w:numPr>
        <w:ilvl w:val="0"/>
      </w:numPr>
      <w:overflowPunct/>
      <w:spacing w:line="252" w:lineRule="exact"/>
      <w:ind w:firstLine="281"/>
      <w:textAlignment w:val="auto"/>
    </w:pPr>
    <w:rPr>
      <w:kern w:val="0"/>
      <w:sz w:val="24"/>
      <w:szCs w:val="24"/>
    </w:rPr>
  </w:style>
  <w:style w:type="character" w:customStyle="1" w:styleId="FontStyle38">
    <w:name w:val="Font Style38"/>
    <w:rsid w:val="00635B66"/>
    <w:rPr>
      <w:rFonts w:ascii="Times New Roman" w:hAnsi="Times New Roman" w:cs="Times New Roman"/>
      <w:color w:val="000000"/>
      <w:sz w:val="18"/>
      <w:szCs w:val="18"/>
    </w:rPr>
  </w:style>
  <w:style w:type="paragraph" w:customStyle="1" w:styleId="Style18">
    <w:name w:val="Style18"/>
    <w:basedOn w:val="Normalny"/>
    <w:uiPriority w:val="99"/>
    <w:rsid w:val="00754EE8"/>
    <w:pPr>
      <w:widowControl w:val="0"/>
      <w:numPr>
        <w:ilvl w:val="0"/>
      </w:numPr>
      <w:overflowPunct/>
      <w:spacing w:line="490" w:lineRule="exact"/>
      <w:ind w:hanging="1829"/>
      <w:jc w:val="left"/>
      <w:textAlignment w:val="auto"/>
    </w:pPr>
    <w:rPr>
      <w:kern w:val="0"/>
      <w:sz w:val="24"/>
      <w:szCs w:val="24"/>
    </w:rPr>
  </w:style>
  <w:style w:type="character" w:customStyle="1" w:styleId="FontStyle52">
    <w:name w:val="Font Style52"/>
    <w:uiPriority w:val="99"/>
    <w:rsid w:val="00754EE8"/>
    <w:rPr>
      <w:rFonts w:ascii="Times New Roman" w:hAnsi="Times New Roman" w:cs="Times New Roman"/>
      <w:color w:val="000000"/>
      <w:sz w:val="18"/>
      <w:szCs w:val="18"/>
    </w:rPr>
  </w:style>
  <w:style w:type="paragraph" w:customStyle="1" w:styleId="Style28">
    <w:name w:val="Style28"/>
    <w:basedOn w:val="Normalny"/>
    <w:uiPriority w:val="99"/>
    <w:rsid w:val="00754EE8"/>
    <w:pPr>
      <w:widowControl w:val="0"/>
      <w:numPr>
        <w:ilvl w:val="0"/>
      </w:numPr>
      <w:overflowPunct/>
      <w:spacing w:line="245" w:lineRule="exact"/>
      <w:ind w:firstLine="284"/>
      <w:textAlignment w:val="auto"/>
    </w:pPr>
    <w:rPr>
      <w:kern w:val="0"/>
      <w:sz w:val="24"/>
      <w:szCs w:val="24"/>
    </w:rPr>
  </w:style>
  <w:style w:type="paragraph" w:customStyle="1" w:styleId="Default">
    <w:name w:val="Default"/>
    <w:rsid w:val="0039607C"/>
    <w:pPr>
      <w:autoSpaceDE w:val="0"/>
      <w:autoSpaceDN w:val="0"/>
      <w:adjustRightInd w:val="0"/>
    </w:pPr>
    <w:rPr>
      <w:color w:val="000000"/>
      <w:sz w:val="24"/>
      <w:szCs w:val="24"/>
    </w:rPr>
  </w:style>
  <w:style w:type="table" w:styleId="Tabela-Siatka">
    <w:name w:val="Table Grid"/>
    <w:basedOn w:val="Standardowy"/>
    <w:rsid w:val="00F86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uiPriority w:val="99"/>
    <w:rsid w:val="00FE5E2F"/>
    <w:rPr>
      <w:rFonts w:ascii="Times New Roman" w:hAnsi="Times New Roman" w:cs="Times New Roman"/>
      <w:sz w:val="18"/>
      <w:szCs w:val="18"/>
    </w:rPr>
  </w:style>
  <w:style w:type="character" w:customStyle="1" w:styleId="FontStyle27">
    <w:name w:val="Font Style27"/>
    <w:uiPriority w:val="99"/>
    <w:rsid w:val="00FE5E2F"/>
    <w:rPr>
      <w:rFonts w:ascii="Times New Roman" w:hAnsi="Times New Roman" w:cs="Times New Roman"/>
      <w:i/>
      <w:iCs/>
      <w:sz w:val="18"/>
      <w:szCs w:val="18"/>
    </w:rPr>
  </w:style>
  <w:style w:type="paragraph" w:customStyle="1" w:styleId="Style4">
    <w:name w:val="Style4"/>
    <w:basedOn w:val="Normalny"/>
    <w:uiPriority w:val="99"/>
    <w:rsid w:val="00FE5E2F"/>
    <w:pPr>
      <w:widowControl w:val="0"/>
      <w:numPr>
        <w:ilvl w:val="0"/>
      </w:numPr>
      <w:overflowPunct/>
      <w:spacing w:line="229" w:lineRule="exact"/>
      <w:ind w:firstLine="284"/>
      <w:textAlignment w:val="auto"/>
    </w:pPr>
    <w:rPr>
      <w:kern w:val="0"/>
      <w:sz w:val="24"/>
      <w:szCs w:val="24"/>
    </w:rPr>
  </w:style>
  <w:style w:type="paragraph" w:customStyle="1" w:styleId="Style6">
    <w:name w:val="Style6"/>
    <w:basedOn w:val="Normalny"/>
    <w:uiPriority w:val="99"/>
    <w:rsid w:val="00FE5E2F"/>
    <w:pPr>
      <w:widowControl w:val="0"/>
      <w:numPr>
        <w:ilvl w:val="0"/>
      </w:numPr>
      <w:overflowPunct/>
      <w:spacing w:line="353" w:lineRule="exact"/>
      <w:ind w:firstLine="284"/>
      <w:jc w:val="left"/>
      <w:textAlignment w:val="auto"/>
    </w:pPr>
    <w:rPr>
      <w:kern w:val="0"/>
      <w:sz w:val="24"/>
      <w:szCs w:val="24"/>
    </w:rPr>
  </w:style>
  <w:style w:type="paragraph" w:customStyle="1" w:styleId="Style9">
    <w:name w:val="Style9"/>
    <w:basedOn w:val="Normalny"/>
    <w:uiPriority w:val="99"/>
    <w:rsid w:val="00FE5E2F"/>
    <w:pPr>
      <w:widowControl w:val="0"/>
      <w:numPr>
        <w:ilvl w:val="0"/>
      </w:numPr>
      <w:overflowPunct/>
      <w:spacing w:line="230" w:lineRule="exact"/>
      <w:ind w:firstLine="839"/>
      <w:jc w:val="left"/>
      <w:textAlignment w:val="auto"/>
    </w:pPr>
    <w:rPr>
      <w:kern w:val="0"/>
      <w:sz w:val="24"/>
      <w:szCs w:val="24"/>
    </w:rPr>
  </w:style>
  <w:style w:type="character" w:customStyle="1" w:styleId="FontStyle26">
    <w:name w:val="Font Style26"/>
    <w:uiPriority w:val="99"/>
    <w:rsid w:val="00072AFF"/>
    <w:rPr>
      <w:rFonts w:ascii="Times New Roman" w:hAnsi="Times New Roman" w:cs="Times New Roman"/>
      <w:b/>
      <w:bCs/>
      <w:sz w:val="18"/>
      <w:szCs w:val="18"/>
    </w:rPr>
  </w:style>
  <w:style w:type="character" w:customStyle="1" w:styleId="FontStyle35">
    <w:name w:val="Font Style35"/>
    <w:uiPriority w:val="99"/>
    <w:rsid w:val="009E7B8A"/>
    <w:rPr>
      <w:rFonts w:ascii="Georgia" w:hAnsi="Georgia" w:cs="Georgia"/>
      <w:sz w:val="14"/>
      <w:szCs w:val="14"/>
    </w:rPr>
  </w:style>
  <w:style w:type="paragraph" w:customStyle="1" w:styleId="Style22">
    <w:name w:val="Style22"/>
    <w:basedOn w:val="Normalny"/>
    <w:uiPriority w:val="99"/>
    <w:rsid w:val="009E7B8A"/>
    <w:pPr>
      <w:widowControl w:val="0"/>
      <w:numPr>
        <w:ilvl w:val="0"/>
      </w:numPr>
      <w:overflowPunct/>
      <w:spacing w:line="230" w:lineRule="exact"/>
      <w:ind w:firstLine="284"/>
      <w:textAlignment w:val="auto"/>
    </w:pPr>
    <w:rPr>
      <w:kern w:val="0"/>
      <w:sz w:val="24"/>
      <w:szCs w:val="24"/>
    </w:rPr>
  </w:style>
  <w:style w:type="character" w:customStyle="1" w:styleId="FontStyle50">
    <w:name w:val="Font Style50"/>
    <w:uiPriority w:val="99"/>
    <w:rsid w:val="00B57BC4"/>
    <w:rPr>
      <w:rFonts w:ascii="Times New Roman" w:hAnsi="Times New Roman" w:cs="Times New Roman"/>
      <w:b/>
      <w:bCs/>
      <w:color w:val="000000"/>
      <w:sz w:val="18"/>
      <w:szCs w:val="18"/>
    </w:rPr>
  </w:style>
  <w:style w:type="character" w:customStyle="1" w:styleId="NagwekZnak">
    <w:name w:val="Nagłówek Znak"/>
    <w:link w:val="Nagwek"/>
    <w:uiPriority w:val="99"/>
    <w:rsid w:val="00C11B56"/>
    <w:rPr>
      <w:i/>
      <w:i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908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1955D-3056-488D-ADEB-8059E3C4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9</Pages>
  <Words>3239</Words>
  <Characters>21622</Characters>
  <Application>Microsoft Office Word</Application>
  <DocSecurity>0</DocSecurity>
  <Lines>180</Lines>
  <Paragraphs>49</Paragraphs>
  <ScaleCrop>false</ScaleCrop>
  <HeadingPairs>
    <vt:vector size="2" baseType="variant">
      <vt:variant>
        <vt:lpstr>Tytuł</vt:lpstr>
      </vt:variant>
      <vt:variant>
        <vt:i4>1</vt:i4>
      </vt:variant>
    </vt:vector>
  </HeadingPairs>
  <TitlesOfParts>
    <vt:vector size="1" baseType="lpstr">
      <vt:lpstr>D - 04</vt:lpstr>
    </vt:vector>
  </TitlesOfParts>
  <Company>TRANSPROJEKT GDAŃSKI</Company>
  <LinksUpToDate>false</LinksUpToDate>
  <CharactersWithSpaces>24812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- 04</dc:title>
  <dc:subject/>
  <dc:creator>Krzysztof Skrok</dc:creator>
  <cp:keywords/>
  <cp:lastModifiedBy>Anna Brzezińska-Michałejko</cp:lastModifiedBy>
  <cp:revision>17</cp:revision>
  <cp:lastPrinted>2018-07-27T13:50:00Z</cp:lastPrinted>
  <dcterms:created xsi:type="dcterms:W3CDTF">2020-12-02T07:18:00Z</dcterms:created>
  <dcterms:modified xsi:type="dcterms:W3CDTF">2024-10-02T09:25:00Z</dcterms:modified>
</cp:coreProperties>
</file>